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D0A" w:rsidRDefault="00ED5D0A">
      <w:pPr>
        <w:jc w:val="left"/>
        <w:rPr>
          <w:rFonts w:ascii="黑体" w:eastAsia="黑体" w:hAnsi="华文中宋" w:hint="eastAsia"/>
          <w:bCs/>
          <w:color w:val="000000"/>
          <w:spacing w:val="6"/>
          <w:szCs w:val="32"/>
        </w:rPr>
      </w:pPr>
      <w:bookmarkStart w:id="0" w:name="_GoBack"/>
      <w:bookmarkEnd w:id="0"/>
      <w:r>
        <w:rPr>
          <w:rFonts w:ascii="黑体" w:eastAsia="黑体" w:hAnsi="华文中宋" w:hint="eastAsia"/>
          <w:bCs/>
          <w:color w:val="000000"/>
          <w:spacing w:val="6"/>
          <w:szCs w:val="32"/>
        </w:rPr>
        <w:t>附件2</w:t>
      </w:r>
    </w:p>
    <w:p w:rsidR="00ED5D0A" w:rsidRDefault="00ED5D0A">
      <w:pPr>
        <w:jc w:val="center"/>
        <w:rPr>
          <w:rFonts w:ascii="华康简标题宋" w:eastAsia="华康简标题宋" w:hAnsi="华文中宋" w:hint="eastAsia"/>
          <w:bCs/>
          <w:color w:val="000000"/>
          <w:spacing w:val="6"/>
          <w:sz w:val="42"/>
          <w:szCs w:val="42"/>
        </w:rPr>
      </w:pPr>
    </w:p>
    <w:p w:rsidR="00ED5D0A" w:rsidRDefault="00ED5D0A">
      <w:pPr>
        <w:jc w:val="center"/>
        <w:rPr>
          <w:rFonts w:ascii="方正小标宋简体" w:eastAsia="方正小标宋简体" w:hAnsi="方正小标宋简体" w:cs="方正小标宋简体" w:hint="eastAsia"/>
          <w:color w:val="000000"/>
          <w:spacing w:val="6"/>
          <w:sz w:val="44"/>
          <w:szCs w:val="44"/>
        </w:rPr>
      </w:pPr>
      <w:r>
        <w:rPr>
          <w:rFonts w:ascii="方正小标宋简体" w:eastAsia="方正小标宋简体" w:hAnsi="方正小标宋简体" w:cs="方正小标宋简体" w:hint="eastAsia"/>
          <w:color w:val="000000"/>
          <w:spacing w:val="6"/>
          <w:sz w:val="44"/>
          <w:szCs w:val="44"/>
        </w:rPr>
        <w:t>2019年度国有粮食企业财务会计决算</w:t>
      </w:r>
    </w:p>
    <w:p w:rsidR="00ED5D0A" w:rsidRDefault="00ED5D0A">
      <w:pPr>
        <w:jc w:val="center"/>
        <w:rPr>
          <w:rFonts w:ascii="方正小标宋简体" w:eastAsia="方正小标宋简体" w:hAnsi="方正小标宋简体" w:cs="方正小标宋简体" w:hint="eastAsia"/>
          <w:color w:val="000000"/>
          <w:spacing w:val="6"/>
          <w:sz w:val="42"/>
          <w:szCs w:val="42"/>
        </w:rPr>
      </w:pPr>
      <w:r>
        <w:rPr>
          <w:rFonts w:ascii="方正小标宋简体" w:eastAsia="方正小标宋简体" w:hAnsi="方正小标宋简体" w:cs="方正小标宋简体" w:hint="eastAsia"/>
          <w:color w:val="000000"/>
          <w:spacing w:val="6"/>
          <w:sz w:val="44"/>
          <w:szCs w:val="44"/>
        </w:rPr>
        <w:t>报表编制说明</w:t>
      </w:r>
    </w:p>
    <w:p w:rsidR="00ED5D0A" w:rsidRDefault="00ED5D0A">
      <w:pPr>
        <w:pStyle w:val="a9"/>
        <w:spacing w:line="580" w:lineRule="exact"/>
        <w:ind w:firstLineChars="200" w:firstLine="600"/>
        <w:jc w:val="left"/>
        <w:rPr>
          <w:rFonts w:ascii="仿宋_GB2312" w:eastAsia="仿宋_GB2312" w:hAnsi="Times New Roman" w:hint="eastAsia"/>
          <w:color w:val="000000"/>
          <w:sz w:val="30"/>
          <w:szCs w:val="30"/>
        </w:rPr>
      </w:pPr>
    </w:p>
    <w:p w:rsidR="00ED5D0A" w:rsidRDefault="00ED5D0A">
      <w:pPr>
        <w:ind w:firstLineChars="200" w:firstLine="640"/>
        <w:rPr>
          <w:rFonts w:ascii="黑体" w:eastAsia="黑体" w:hAnsi="黑体" w:cs="黑体" w:hint="eastAsia"/>
          <w:szCs w:val="32"/>
        </w:rPr>
      </w:pPr>
      <w:r>
        <w:rPr>
          <w:rFonts w:ascii="黑体" w:eastAsia="黑体" w:hAnsi="黑体" w:cs="黑体" w:hint="eastAsia"/>
          <w:szCs w:val="32"/>
        </w:rPr>
        <w:t>一、资产负债表</w:t>
      </w:r>
    </w:p>
    <w:p w:rsidR="00ED5D0A" w:rsidRDefault="00ED5D0A">
      <w:pPr>
        <w:ind w:firstLineChars="200" w:firstLine="643"/>
        <w:rPr>
          <w:rFonts w:ascii="楷体_GB2312" w:eastAsia="楷体_GB2312" w:hAnsi="楷体_GB2312" w:cs="楷体_GB2312" w:hint="eastAsia"/>
          <w:b/>
          <w:szCs w:val="32"/>
        </w:rPr>
      </w:pPr>
      <w:r>
        <w:rPr>
          <w:rFonts w:ascii="楷体_GB2312" w:eastAsia="楷体_GB2312" w:hAnsi="楷体_GB2312" w:cs="楷体_GB2312" w:hint="eastAsia"/>
          <w:b/>
          <w:szCs w:val="32"/>
        </w:rPr>
        <w:t>（一）编制方法</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1.表内“少数股东权益”由集团型企业在编制“合并财务报表”时填列。</w:t>
      </w:r>
    </w:p>
    <w:p w:rsidR="00ED5D0A" w:rsidRDefault="00ED5D0A">
      <w:pPr>
        <w:ind w:firstLineChars="200" w:firstLine="640"/>
        <w:rPr>
          <w:rFonts w:ascii="楷体_GB2312" w:eastAsia="楷体_GB2312" w:hAnsi="楷体_GB2312" w:cs="楷体_GB2312" w:hint="eastAsia"/>
          <w:b/>
          <w:szCs w:val="32"/>
        </w:rPr>
      </w:pPr>
      <w:r>
        <w:rPr>
          <w:rFonts w:ascii="仿宋_GB2312" w:hAnsi="仿宋_GB2312" w:cs="仿宋_GB2312" w:hint="eastAsia"/>
          <w:bCs/>
          <w:szCs w:val="32"/>
        </w:rPr>
        <w:t>2.企业应依据本编制说明要求填列表中各项指标，编制说明中未作解释的内容以企业目前所执行的会计核算制度为依据。</w:t>
      </w:r>
    </w:p>
    <w:p w:rsidR="00ED5D0A" w:rsidRDefault="00ED5D0A">
      <w:pPr>
        <w:ind w:firstLineChars="200" w:firstLine="643"/>
        <w:rPr>
          <w:rFonts w:ascii="楷体_GB2312" w:eastAsia="楷体_GB2312" w:hAnsi="楷体_GB2312" w:cs="楷体_GB2312" w:hint="eastAsia"/>
          <w:b/>
          <w:szCs w:val="32"/>
        </w:rPr>
      </w:pPr>
      <w:r>
        <w:rPr>
          <w:rFonts w:ascii="楷体_GB2312" w:eastAsia="楷体_GB2312" w:hAnsi="楷体_GB2312" w:cs="楷体_GB2312" w:hint="eastAsia"/>
          <w:b/>
          <w:szCs w:val="32"/>
        </w:rPr>
        <w:t>（二）表内有关指标解释</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交易性金融资产:适用于已执行新金融工具准则的企业，反映资产负债表日企业分类为以公允价值计量且其变动计入当期损益的金融资产，以及企业持有的直接指定为以公允价值计量且其变动计入当期损益的金融资产期末账面价值，应根据“交易性金融资产”科目的相关明细科目期末余额分析填列。自资产负债表日起超过一年到期且预期持有超过一年的以公允价值计量且其变动计入当期损益的非流动金融资产的期末账面价值，在“其他非流动金融资产”行项目反映。</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2.以公允价值计量且其变动计入当期损益的金融资产:适用于未执行新金融工具准则的企业，反映企业持有的以公允价值计</w:t>
      </w:r>
      <w:r>
        <w:rPr>
          <w:rFonts w:ascii="仿宋_GB2312" w:hAnsi="仿宋_GB2312" w:cs="仿宋_GB2312" w:hint="eastAsia"/>
          <w:bCs/>
          <w:szCs w:val="32"/>
        </w:rPr>
        <w:lastRenderedPageBreak/>
        <w:t>量，且其变动计入当期损益的以交易为目的的债券投资、股票投资、基金投资、权证投资等金融资产，应根据“公允价值计量且其变动计入当期损益的金融资产”科目的期末余额填列。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3.衍生金融资产:反映企业衍生工具形成资产的期末余额。</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4.应收票据：反映资产负债表日以摊余成本计量的、企业因销售商品、提供服务等收到的商业汇票，包括银行承兑汇票和商业承兑汇票，应根据“应收票据”科目的期末余额，减去“坏账准备”科目中相关坏账准备期末余额后的金额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5.应收账款：反映资产负债表日以摊余成本计量的、企业因销售商品、提供服务等经营活动应收取的款项，应根据“应收账款”科目的期末余额，减去“坏账准备”科目中相关坏账准备期末余额后的金额填列。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6.☆应收款项融资：适用于已执行新金融工具准则的企业，反映资产负债表日以公允价值计量且其变动计入其他综合收益的应收票据和应收账款等。</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7.其他应收款:企业应根据“应收利息”“应收股利”和“其他应收款”科目的期末余额合计数，减去“坏账准备”科目中相关坏账准备期末余额后的金额填列。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8.存货:企业应根据存货相关科目的期末余额合计，减去“存货跌价准备”或“商品削价准备”“代销商品款”科目的期末余额后的净额填列。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9.持有待售资产:反映资产负债表日划分为持有待售类别的</w:t>
      </w:r>
      <w:r>
        <w:rPr>
          <w:rFonts w:ascii="仿宋_GB2312" w:hAnsi="仿宋_GB2312" w:cs="仿宋_GB2312" w:hint="eastAsia"/>
          <w:bCs/>
          <w:szCs w:val="32"/>
        </w:rPr>
        <w:lastRenderedPageBreak/>
        <w:t>非流动资产及划分为持有待售类别的处置组中的流动资产和非流动资产的期末账面价值，应根据“持有待售资产”科目的期末余额，减去“持有待售资产减值准备”科目的期末余额后的金额填列。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10.一年内到期的非流动资产:反映企业将于一年内到期的非流动资产项目金额，本项目应根据有关科目的期末余额填列。对于按照相关会计准则采用折旧（或摊销、折耗）方法进行后续计量的固定资产、无形资产和长期待摊费用等非流动资产，折旧（或摊销、折耗）年限（或期限）只剩一年或不足一年的，或预计在一年内（含一年）进行折旧（或摊销、折耗）的部分，不得归类为流动资产，仍在各该非流动资产项目中填列，不转入“一年内到期的非流动资产”项目。</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11.其他流动资产:反映企业除货币资金、交易性金融资产、应收票据、应收账款、存货等流动资产以外的其他流动资产。</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12.☆债权投资:适用于已执行新金融工具准则的企业，反映资产负债表日企业以摊余成本计量的长期债权投资的期末账面价值，应根据“债权投资”科目的相关明细科目期末余额，减去“债权投资减值准备”科目中相关减值准备的期末余额后的金额分析填列。自资产负债表日起一年内到期的长期债权投资的期末账面价值，在“一年内到期的非流动资产”项目反映。企业购入的以摊余成本计量的一年内到期的债权投资的期末账面价值，在“其他流动资产”行项目反映。</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lastRenderedPageBreak/>
        <w:t>13.可供出售金融资产:适用于未执行新金融工具准则的企业，反映企业持有的以公允价值计量的可供出售的股票投资、债券投资等金融资产，应根据“可供出售金融资产”科目的期末余额，减去“可供出售金融资产减值准备”科目期末余额后的净额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14.☆其他债权投资:适用于已执行新金融工具准则的企业，反映资产负债表日企业分类为以公允价值计量且其变动计入其他综合收益的长期债权投资的期末账面价值，应根据“其他债权投资”科目的相关明细科目期末余额分析填列。自资产负债表日起一年内到期的长期债权投资的期末账面价值，在“一年内到期的非流动资产”项目反映。企业购入的以公允价值计量且其他变动计入其他综合收益的一年内到期的债权投资的期末账面价值，在“其他流动资产”行项目反映。</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15.持有至到期投资:适用于未执行新金融工具准则的企业，反映企业持有至到期日投资的摊余成本，即到期日固定，回收金额固定或可确定，且企业有明确意图和能力持有至到期的非衍生金融资产的摊余成本，应根据“持有至到期投资”科目的期末余额，减去“持有至到期投资减值准备”科目余额后的净额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16.长期应收款:企业应根据“长期应收款”科目的期末余额，减去相应的“未实现融资收益”科目和“坏账准备”科目所属相关科目期末余额后的净额填列。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17.长期股权投资:企业应根据“长期股权投资”科目账面余</w:t>
      </w:r>
      <w:r>
        <w:rPr>
          <w:rFonts w:ascii="仿宋_GB2312" w:hAnsi="仿宋_GB2312" w:cs="仿宋_GB2312" w:hint="eastAsia"/>
          <w:bCs/>
          <w:szCs w:val="32"/>
        </w:rPr>
        <w:lastRenderedPageBreak/>
        <w:t>额，减去相应“长期股权投资减值准备”科目期末余额后的净额填列。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18.☆其他权益工具投资:适用于已执行新金融工具准则的企业，反映资产负债表日企业指定为公允价值计量且其变动计入其他综合收益的非交易性权益工具投资的期末账面价值，应根据“其他权益工具投资”科目的期末余额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19.☆其他非流动金融资产:适用于已执行新金融工具准则的企业，反映资产负债表日企业持有的超过一年到期且预期持有超过一年的以公允价值计量且其变动计入当期损益的非流动金融资产的期末账面价值，应根据“交易性金融资产”科目的相关明细科目期末余额分析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20.投资性房地产:反映企业持有的投资性房地产。采用成本模式计量投资性房地产的，应根据“投资性房地产”科目的期末余额，减去“投资性房地产累计折旧（摊销）”和“投资性房地产减值准备”科目期末余额后的净额填列；采用公允价值模式计量投资性房地产的，应根据“投资性房地产”科目的期末余额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21.固定资产:反映资产负债表日企业固定资产的期末账面价值和企业尚未清理完毕的固定资产清理净损益，应根据“固定资产”科目的期末余额，减去“累计折旧”和“固定资产减值准备”科目的期末余额后的金额，加上“固定资产清理”科目的期末余额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lastRenderedPageBreak/>
        <w:t>22.在建工程:反映资产负债表日企业尚未达到预定可使用状态的在建工程期末账面价值，应根据“在建工程”科目的期末余额，减去“在建工程减值准备”科目的期末余额后的金额，加上“工程物资”科目的期末余额，减去“工程物资减值准备”科目的期末余额后的金额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23.生产性生物资产:反映企业持有的为产出农产品、提供劳务或出租等目的而持有的生物资产，应根据“生产性生物资产”科目的期末余额，减去“生产性生物资产累计折旧”和“生产性生物资产减值准备”科目期末余额后的净额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24.油气资产:反映企业持有的矿区权益和油气井及相关设施的原价减去累计折耗和累计减值准备后的净额，应根据“油气资产”科目期末余额，减去“累计折耗”科目期末余额和相应减值准备后的净额填列。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25.☆使用权资产：适用于已执行新租赁准则的企业，反映资产负债表日承租人企业持有的使用权资产的期末账面价值。该项目应根据“使用权资产”科目的期末余额，减去“使用权资产累计折旧”和“使用权资产减值准备”科目的期末余额后的金额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26.无形资产:反映企业持有无形资产的账面价值，包括专利权、非专利技术、商标权、著作权、土地使用权等，应根据“无形资产”科目的期末余额，减去相应的“无形资产减值准备”“累计摊销”科目期末余额后的净额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lastRenderedPageBreak/>
        <w:t>27.开发支出:反映企业开发无形资产过程中能够资本化形成无形资产成本的支出部分，应根据“研发支出”科目中所属的“资本化支出”明细科目期末余额填列。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28.商誉:反映企业合并中形成商誉的价值，应根据“商誉”科目期末余额，减去相应减值准备后的净额填列。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29.长期待摊费用:反映企业已经发生但应由本期和以后各期负担的各项费用，应根据“长期待摊费用”科目的期末余额填列。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30.递延所得税资产:反映企业确认的可抵扣暂时性差异产生的递延所得税资产，应根据“递延所得税资产”科目期末余额填列。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31.其他非流动资产:反映企业除以上资产以外的其他长期资产。其中，特准储备物资主要反映企业按照国家和上级规定储备的用于防汛、战备等特定用途的物资年末结存成本，应单独列示。如该项目价值较大的，应在会计报表附注中披露其内容和金额。</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32.☆交易性金融负债:适用于已执行新金融工具准则的企业，反映资产负债表日企业承担的交易性金融负债，以及企业持有的直接指定为以公允价值计量且其变动计入当期损益的金融负债的期末账面价值，应根据“交易性金融负债”科目的相关明细科目期末余额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33.以公允价值计量且其变动计入当期损益的金融负债:适用于未执行新金融工具准则的企业，反映企业承担的以公允价值计量且其变动计入当期损益的以交易为目的所持有的金融负债，应</w:t>
      </w:r>
      <w:r>
        <w:rPr>
          <w:rFonts w:ascii="仿宋_GB2312" w:hAnsi="仿宋_GB2312" w:cs="仿宋_GB2312" w:hint="eastAsia"/>
          <w:bCs/>
          <w:szCs w:val="32"/>
        </w:rPr>
        <w:lastRenderedPageBreak/>
        <w:t>根据“以公允价值计量且其变动计入当期损益的金融负债”科目期末余额填列。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34.衍生金融负债:反映企业衍生工具形成负债的期末余额。</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35.应付票据：反映资产负债表日以摊余成本计量的、企业因购买材料、商品和接受服务等开出、承兑的商业汇票，包括银行承兑汇票和商业承兑汇票。该项目应根据“应付票据”科目的期末余额填列。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36.应付账款：反映资产负债表日以摊余成本计量的、企业因购买材料、商品和接受服务等经营活动应支付的款项。该项目应根据“应付账款”和“预付账款”科目所属的相关明细科目的期末贷方余额合计数填列。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37.☆合同资产＆☆合同负债:适用于已执行新收入准则的企业，应分别根据“合同资产”科目、“合同负债”科目的相关明细科目期末余额分析填列，同一合同下的合同资产和合同负债应当以净额列示，其中净额为借方余额的，应当根据其流动性在“合同资产”或“其他非流动资产”项目中填列，已计提减值准备的，还应减去“合同资产减值准备”科目中相关的期末余额后的金额填列；其中净额为贷方余额的，应当根据其流动性在“合同负债”或“其他非流动负债”项目中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按照《企业会计准则第14号——收入》的相关规定确认为资产的合同取得成本，应根据“合同取得成本”科目的明细科目初始确认时摊销期限是否超过一年或一个正常营业周期，在“其</w:t>
      </w:r>
      <w:r>
        <w:rPr>
          <w:rFonts w:ascii="仿宋_GB2312" w:hAnsi="仿宋_GB2312" w:cs="仿宋_GB2312" w:hint="eastAsia"/>
          <w:bCs/>
          <w:szCs w:val="32"/>
        </w:rPr>
        <w:lastRenderedPageBreak/>
        <w:t>他流动资产”或“其他非流动资产”项目中填列，已计提减值准备的，还应减去“合同取得成本减值准备”科目中相关的期末余额后的金额填列。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按照《企业会计准则第14号——收入》的相关规定确认为资产的合同履约成本，应根据“合同履约成本”科目的明细科目初始确认时摊销期限是否超过一年或一个正常营业周期，在“存货”或“其他非流动资产”项目中填列，已计提减值准备的，还应减去“合同履约成本减值准备”科目中相关的期末余额后的金额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按照《企业会计准则第14号——收入》的相关规定确认为资产的应收退货成本，应根据“应收退货成本”科目是否在一年或一个正常营业周期内出售，在“其他流动资产”或“其他非流动资产”项目中填列。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按照《企业会计准则第14号——收入》的相关规定确认为预计负债的应付退货款，应根据“预计负债”科目下的“应付退货款”明细科目是否在一年或一个正常营业周期内清偿，在“其他流动负债”或“预计负债”项目中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38.应付职工薪酬:反映企业根据有关规定应付给职工的工资、职工福利、社会保险费、住房公积金、工会经费、职工教育经费、非货币性福利、辞退福利等各种薪酬，应根据“应付职工薪酬”科目的期末余额填列。其中:应付工资和应付福利费应单独列示。外商投资企业按规定从净利润中提取的职工奖励及福利</w:t>
      </w:r>
      <w:r>
        <w:rPr>
          <w:rFonts w:ascii="仿宋_GB2312" w:hAnsi="仿宋_GB2312" w:cs="仿宋_GB2312" w:hint="eastAsia"/>
          <w:bCs/>
          <w:szCs w:val="32"/>
        </w:rPr>
        <w:lastRenderedPageBreak/>
        <w:t>基金，应在“应付福利费”项下单独列示。</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39.应交税费:反映企业按照税法规定计算应缴纳的各种税费，包括增值税、消费税、所得税、资源税、土地增值税、城市维护建设税、房产税、土地使用税、车船使用税、教育费附加、矿产资源补偿费等。应根据“应交税费”科目下的“未交增值税”“简易计税”“转让金融商品应交增值税”“代扣代交增值税”等科目贷方余额填列，其中:应交税金应单独列示。“应交税费”科目下的“应交增值税”“未交增值税”“待抵扣进项税额”“待认证进项税额”“增值税留抵税额”等明细科目期末借方余额应根据情况，在资产负债表中的“其他流动资产”或“其他非流动资产”项目列示；“应交税费”科目下的“待转销项税额”等科目期末贷方余额应根据情况，在资产负债表中的“其他流动负债”或“其他非流动负债”项目列示。</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40.其他应付款:应根据“应付利息”“应付股利”和“其他应付款”科目的期末余额合计数填列。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41.持有待售负债:反映资产负债表中处置组中与划分为持有待售类别的资产直接相关的负债的期末账面价值，应根据“持有待售负债”科目的期末余额填列。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42.其他流动负债:反映未包括在短期借款、交易性金融负债、应付票据及应付账款、应付职工薪酬、应交税费、其他应付款、一年内到期的非流动负债项目内的流动负债，含短期融资券。</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43.☆租赁负债：适用于已执行新租赁准则的企业，反映资</w:t>
      </w:r>
      <w:r>
        <w:rPr>
          <w:rFonts w:ascii="仿宋_GB2312" w:hAnsi="仿宋_GB2312" w:cs="仿宋_GB2312" w:hint="eastAsia"/>
          <w:bCs/>
          <w:szCs w:val="32"/>
        </w:rPr>
        <w:lastRenderedPageBreak/>
        <w:t>产负债表日承租人企业尚未支付的租赁付款额的期末账面价值。该项目应根据“租赁负债”科目的期末余额填列。自资产负债表日起一年内到期应予以清偿的租赁负债的期末账面价值，在“一年内到期的非流动负债”项目反映。</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44.长期应付款:反映资产负债表日企业除长期借款和应付债券以外的其他各种长期应付款项的期末账面价值，应根据“长期应付款”科目的期末余额，减去相关的“未确认融资费用”科目的期末余额后的金额，加上“专项应付款”科目的期末余额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45.长期应付职工薪酬:反映企业辞退福利中将于资产负债表日起12个月之后支付的部分、离职后福利中设定收益计划净负债、其他长期职工福利中符合设定收益计划条件的净负债。</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46.预计负债:反映企业各项预计的负债，包括对外提供担保、商业承兑票据贴现、未决诉讼、产品质量保证、重组义务、亏损合同、应付退货款等，应根据“预计负债”科目期末余额填列。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47.递延收益:反映企业应在以后期间计入当期损益的政府补助及其他。递延收益项目中摊销期限只剩一年或不足一年的，或预计在一年内（含一年）进行摊销的部分，不归类为流动负债，仍在该项目中填列，不转入“一年内到期的非流动负债”项目。</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48.递延所得税负债:反映企业确认的应纳税暂时性差异产生的递延所得税负债，应根据“递延所得税负债”科目期末余额填列。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49.特准储备基金:反映国家拨给企业的特准储备基金的余</w:t>
      </w:r>
      <w:r>
        <w:rPr>
          <w:rFonts w:ascii="仿宋_GB2312" w:hAnsi="仿宋_GB2312" w:cs="仿宋_GB2312" w:hint="eastAsia"/>
          <w:bCs/>
          <w:szCs w:val="32"/>
        </w:rPr>
        <w:lastRenderedPageBreak/>
        <w:t>额。</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50.实收资本（或股本）:反映企业各投资者实际投入的资本（或股本）总额。其中:中外合作经营企业“实收资本净额”按“实收资本”扣除“已归还投资”后的金额填列。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国家资本:指各级政府及其部门以政府预算资金、土地使用权等形式直接投入到企业的资本金。各级政府履行出资人职责机构管理的一级企业，若为国有独资的其实收资本为国家资本，若为股权多元化企业，按政府直接投入资本确定为国家资本。</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（2）国有法人资本:指具有独立法人地位的国有企业（单位）或国有独资公司对企业投资形成的资本金。</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（3）集体资本:指由本企业职工等自然人集体投资或各种机构对企业进行扶持形成的集体性质的资本金,以及具有独立法人地位的集体企业对企业投资形成的资本金。</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（4）民营资本:指除国有资本、集体资本、外商资本以外的其他资本。</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（5）外商资本:指外国和我国香港、澳门及台湾地区投资者实际投入企业的资本金。</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51.其他权益工具:反映企业发行的除普通股以外分类为权益工具的金融工具的账面价值。</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52.库存股:反映企业持有尚未转让或注销的本企业股份金额，应根据“库存股”科目期末余额分析填列。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53.其他综合收益:反映企业未在当期损益中确认的各项利得</w:t>
      </w:r>
      <w:r>
        <w:rPr>
          <w:rFonts w:ascii="仿宋_GB2312" w:hAnsi="仿宋_GB2312" w:cs="仿宋_GB2312" w:hint="eastAsia"/>
          <w:bCs/>
          <w:szCs w:val="32"/>
        </w:rPr>
        <w:lastRenderedPageBreak/>
        <w:t>和损失，应根据“其他综合收益”科目期末余额分析填列。其中:外币报表折算差额应单独列示。</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54.外币报表折算差额:反映企业将外币表示的资产负债表折算成记账本位币表示的资产负债表时，由于报表项目采用不同的折算汇率所产生的差额。</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55.专项储备:反映高危行业企业按照国家规定提取的安全生产费的期末余额。</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56.盈余公积:反映企业盈余公积的期末余额。本项目应根据“盈余公积”科目的期末余额填列。其中，“法定盈余公积”反映企业按照规定的比例从净利润中提取的盈余公积；“任意盈余公积”反映企业经股东大会或类似机构批准按照规定的比例从净利润中提取的盈余公积。</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57.未分配利润:反映尚未分配的利润，未弥补的亏损，在本项目内以“-”填列。</w:t>
      </w:r>
    </w:p>
    <w:p w:rsidR="00ED5D0A" w:rsidRDefault="00ED5D0A">
      <w:pPr>
        <w:ind w:firstLineChars="200" w:firstLine="640"/>
        <w:rPr>
          <w:rFonts w:ascii="仿宋_GB2312" w:hAnsi="仿宋_GB2312" w:cs="仿宋_GB2312" w:hint="eastAsia"/>
          <w:szCs w:val="32"/>
        </w:rPr>
      </w:pPr>
      <w:r>
        <w:rPr>
          <w:rFonts w:ascii="仿宋_GB2312" w:hAnsi="仿宋_GB2312" w:cs="仿宋_GB2312" w:hint="eastAsia"/>
          <w:bCs/>
          <w:szCs w:val="32"/>
        </w:rPr>
        <w:t>58.*少数股东权益:反映除母公司以外的其他投资者在子公司中拥有的权益数额。</w:t>
      </w:r>
    </w:p>
    <w:p w:rsidR="00ED5D0A" w:rsidRDefault="00ED5D0A">
      <w:pPr>
        <w:ind w:firstLineChars="200" w:firstLine="643"/>
        <w:rPr>
          <w:rFonts w:ascii="楷体_GB2312" w:eastAsia="楷体_GB2312" w:hAnsi="楷体_GB2312" w:cs="楷体_GB2312" w:hint="eastAsia"/>
          <w:b/>
          <w:szCs w:val="32"/>
        </w:rPr>
      </w:pPr>
      <w:r>
        <w:rPr>
          <w:rFonts w:ascii="楷体_GB2312" w:eastAsia="楷体_GB2312" w:hAnsi="楷体_GB2312" w:cs="楷体_GB2312" w:hint="eastAsia"/>
          <w:b/>
          <w:szCs w:val="32"/>
        </w:rPr>
        <w:t>（三）表内、表间关系</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详见决算报表任务格式。</w:t>
      </w:r>
    </w:p>
    <w:p w:rsidR="00ED5D0A" w:rsidRDefault="00ED5D0A">
      <w:pPr>
        <w:ind w:firstLineChars="200" w:firstLine="640"/>
        <w:rPr>
          <w:rFonts w:ascii="黑体" w:eastAsia="黑体" w:hAnsi="黑体" w:cs="黑体" w:hint="eastAsia"/>
          <w:szCs w:val="32"/>
        </w:rPr>
      </w:pPr>
      <w:r>
        <w:rPr>
          <w:rFonts w:ascii="黑体" w:eastAsia="黑体" w:hAnsi="黑体" w:cs="黑体" w:hint="eastAsia"/>
          <w:szCs w:val="32"/>
        </w:rPr>
        <w:t>二、利润表</w:t>
      </w:r>
    </w:p>
    <w:p w:rsidR="00ED5D0A" w:rsidRDefault="00ED5D0A">
      <w:pPr>
        <w:ind w:firstLineChars="200" w:firstLine="643"/>
        <w:rPr>
          <w:rFonts w:ascii="楷体_GB2312" w:eastAsia="楷体_GB2312" w:hAnsi="楷体_GB2312" w:cs="楷体_GB2312" w:hint="eastAsia"/>
          <w:b/>
          <w:szCs w:val="32"/>
        </w:rPr>
      </w:pPr>
      <w:r>
        <w:rPr>
          <w:rFonts w:ascii="楷体_GB2312" w:eastAsia="楷体_GB2312" w:hAnsi="楷体_GB2312" w:cs="楷体_GB2312" w:hint="eastAsia"/>
          <w:b/>
          <w:szCs w:val="32"/>
        </w:rPr>
        <w:t>（一）编制方法</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1.本表反映企业在一年或一个会计期间内的经营成果。企业应根据损益类账户及其有关明细账户的上年累计实际发生数和</w:t>
      </w:r>
      <w:r>
        <w:rPr>
          <w:rFonts w:ascii="仿宋_GB2312" w:eastAsia="仿宋_GB2312" w:hAnsi="仿宋_GB2312" w:cs="仿宋_GB2312" w:hint="eastAsia"/>
          <w:bCs/>
          <w:sz w:val="32"/>
          <w:szCs w:val="32"/>
        </w:rPr>
        <w:lastRenderedPageBreak/>
        <w:t>本年累计实际发生数分析填列。如果上年度利润表与本年度该表的项目名称和内容不相一致，应按本年度口径调整后填列。</w:t>
      </w:r>
    </w:p>
    <w:p w:rsidR="00ED5D0A" w:rsidRDefault="00ED5D0A">
      <w:pPr>
        <w:adjustRightInd w:val="0"/>
        <w:snapToGrid w:val="0"/>
        <w:ind w:firstLineChars="200" w:firstLine="640"/>
        <w:rPr>
          <w:rFonts w:ascii="仿宋_GB2312" w:hAnsi="仿宋_GB2312" w:cs="仿宋_GB2312" w:hint="eastAsia"/>
          <w:bCs/>
          <w:szCs w:val="32"/>
        </w:rPr>
      </w:pPr>
      <w:r>
        <w:rPr>
          <w:rFonts w:ascii="仿宋_GB2312" w:hAnsi="仿宋_GB2312" w:cs="仿宋_GB2312" w:hint="eastAsia"/>
          <w:bCs/>
          <w:szCs w:val="32"/>
        </w:rPr>
        <w:t>2.表内“少数股东损益”、“归属于少数股东的其他综合收益的税后净额”和“归属于少数股东的综合收益总额”仅由编制合并财务报表的集团企业填报。</w:t>
      </w:r>
    </w:p>
    <w:p w:rsidR="00ED5D0A" w:rsidRDefault="00ED5D0A">
      <w:pPr>
        <w:adjustRightInd w:val="0"/>
        <w:snapToGrid w:val="0"/>
        <w:ind w:firstLineChars="200" w:firstLine="640"/>
        <w:rPr>
          <w:rFonts w:ascii="楷体_GB2312" w:eastAsia="楷体_GB2312" w:hAnsi="楷体_GB2312" w:cs="楷体_GB2312" w:hint="eastAsia"/>
          <w:b/>
          <w:szCs w:val="32"/>
        </w:rPr>
      </w:pPr>
      <w:r>
        <w:rPr>
          <w:rFonts w:ascii="仿宋_GB2312" w:hAnsi="仿宋_GB2312" w:cs="仿宋_GB2312" w:hint="eastAsia"/>
          <w:bCs/>
          <w:szCs w:val="32"/>
        </w:rPr>
        <w:t>3.企业应依据本编制说明要求和相关项目填列表中各项指标，编制说明中未作解释的内容以目前企业所执行的会计核算制度为依据。</w:t>
      </w:r>
    </w:p>
    <w:p w:rsidR="00ED5D0A" w:rsidRDefault="00ED5D0A">
      <w:pPr>
        <w:ind w:firstLineChars="200" w:firstLine="643"/>
        <w:rPr>
          <w:rFonts w:ascii="楷体_GB2312" w:eastAsia="楷体_GB2312" w:hAnsi="楷体_GB2312" w:cs="楷体_GB2312" w:hint="eastAsia"/>
          <w:b/>
          <w:szCs w:val="32"/>
        </w:rPr>
      </w:pPr>
      <w:r>
        <w:rPr>
          <w:rFonts w:ascii="楷体_GB2312" w:eastAsia="楷体_GB2312" w:hAnsi="楷体_GB2312" w:cs="楷体_GB2312" w:hint="eastAsia"/>
          <w:b/>
          <w:szCs w:val="32"/>
        </w:rPr>
        <w:t>（二）表内有关指标解释</w:t>
      </w:r>
    </w:p>
    <w:p w:rsidR="00ED5D0A" w:rsidRDefault="00ED5D0A">
      <w:pPr>
        <w:adjustRightInd w:val="0"/>
        <w:snapToGrid w:val="0"/>
        <w:ind w:firstLineChars="200" w:firstLine="640"/>
        <w:rPr>
          <w:rFonts w:ascii="仿宋_GB2312" w:hAnsi="仿宋_GB2312" w:cs="仿宋_GB2312" w:hint="eastAsia"/>
          <w:bCs/>
          <w:szCs w:val="32"/>
        </w:rPr>
      </w:pPr>
      <w:r>
        <w:rPr>
          <w:rFonts w:ascii="仿宋_GB2312" w:hAnsi="仿宋_GB2312" w:cs="仿宋_GB2312" w:hint="eastAsia"/>
          <w:bCs/>
          <w:szCs w:val="32"/>
        </w:rPr>
        <w:t>1.营业总收入:包括营业收入、△利息收入、△已赚保费和△手续费及佣金收入四部分内容。</w:t>
      </w:r>
    </w:p>
    <w:p w:rsidR="00ED5D0A" w:rsidRDefault="00ED5D0A">
      <w:pPr>
        <w:adjustRightInd w:val="0"/>
        <w:snapToGrid w:val="0"/>
        <w:ind w:firstLineChars="200" w:firstLine="640"/>
        <w:rPr>
          <w:rFonts w:ascii="仿宋_GB2312" w:hAnsi="仿宋_GB2312" w:cs="仿宋_GB2312" w:hint="eastAsia"/>
          <w:bCs/>
          <w:szCs w:val="32"/>
        </w:rPr>
      </w:pPr>
      <w:r>
        <w:rPr>
          <w:rFonts w:ascii="仿宋_GB2312" w:hAnsi="仿宋_GB2312" w:cs="仿宋_GB2312" w:hint="eastAsia"/>
          <w:bCs/>
          <w:szCs w:val="32"/>
        </w:rPr>
        <w:t>2.营业收入:反映企业经营主要业务和其他业务所确认的收入总额，应根据“主营业务收入”和“其他业务收入”科目的发生额分析填列。</w:t>
      </w:r>
    </w:p>
    <w:p w:rsidR="00ED5D0A" w:rsidRDefault="00ED5D0A">
      <w:pPr>
        <w:adjustRightInd w:val="0"/>
        <w:snapToGrid w:val="0"/>
        <w:ind w:firstLineChars="200" w:firstLine="640"/>
        <w:rPr>
          <w:rFonts w:ascii="仿宋_GB2312" w:hAnsi="仿宋_GB2312" w:cs="仿宋_GB2312" w:hint="eastAsia"/>
          <w:bCs/>
          <w:szCs w:val="32"/>
        </w:rPr>
      </w:pPr>
      <w:r>
        <w:rPr>
          <w:rFonts w:ascii="仿宋_GB2312" w:hAnsi="仿宋_GB2312" w:cs="仿宋_GB2312" w:hint="eastAsia"/>
          <w:bCs/>
          <w:szCs w:val="32"/>
        </w:rPr>
        <w:t>3.营业总成本:包括营业成本、△利息支出、△手续费及佣金支出、△退保金、△赔付支出净额、△提取保险合同准备金净额、△保单红利支出、△分保费用、税金及附加、销售费用、管理费用、研发费用、财务费用和其他共十四部分内容。</w:t>
      </w:r>
    </w:p>
    <w:p w:rsidR="00ED5D0A" w:rsidRDefault="00ED5D0A">
      <w:pPr>
        <w:adjustRightInd w:val="0"/>
        <w:snapToGrid w:val="0"/>
        <w:ind w:firstLineChars="200" w:firstLine="640"/>
        <w:rPr>
          <w:rFonts w:ascii="仿宋_GB2312" w:hAnsi="仿宋_GB2312" w:cs="仿宋_GB2312" w:hint="eastAsia"/>
          <w:bCs/>
          <w:szCs w:val="32"/>
        </w:rPr>
      </w:pPr>
      <w:r>
        <w:rPr>
          <w:rFonts w:ascii="仿宋_GB2312" w:hAnsi="仿宋_GB2312" w:cs="仿宋_GB2312" w:hint="eastAsia"/>
          <w:bCs/>
          <w:szCs w:val="32"/>
        </w:rPr>
        <w:t>4.营业成本:反映企业经营主要业务和其他业务所确认的成本总额，应根据“主营业务成本”和“其他业务成本（支出）”科目的发生额分析填列。</w:t>
      </w:r>
    </w:p>
    <w:p w:rsidR="00ED5D0A" w:rsidRDefault="00ED5D0A">
      <w:pPr>
        <w:adjustRightInd w:val="0"/>
        <w:snapToGrid w:val="0"/>
        <w:ind w:firstLineChars="200" w:firstLine="640"/>
        <w:rPr>
          <w:rFonts w:ascii="仿宋_GB2312" w:hAnsi="仿宋_GB2312" w:cs="仿宋_GB2312" w:hint="eastAsia"/>
          <w:bCs/>
          <w:szCs w:val="32"/>
        </w:rPr>
      </w:pPr>
      <w:r>
        <w:rPr>
          <w:rFonts w:ascii="仿宋_GB2312" w:hAnsi="仿宋_GB2312" w:cs="仿宋_GB2312" w:hint="eastAsia"/>
          <w:bCs/>
          <w:szCs w:val="32"/>
        </w:rPr>
        <w:t>5.税金及附加:反映企业经营活动发生的消费税、城市维护建</w:t>
      </w:r>
      <w:r>
        <w:rPr>
          <w:rFonts w:ascii="仿宋_GB2312" w:hAnsi="仿宋_GB2312" w:cs="仿宋_GB2312" w:hint="eastAsia"/>
          <w:bCs/>
          <w:szCs w:val="32"/>
        </w:rPr>
        <w:lastRenderedPageBreak/>
        <w:t>设税、资源税、教育费附加及房产税、土地使用税、车船使用税、印花税等相关税费，应根据“税金及附加”科目的发生额填列。</w:t>
      </w:r>
    </w:p>
    <w:p w:rsidR="00ED5D0A" w:rsidRDefault="00ED5D0A">
      <w:pPr>
        <w:adjustRightInd w:val="0"/>
        <w:snapToGrid w:val="0"/>
        <w:ind w:firstLineChars="200" w:firstLine="640"/>
        <w:rPr>
          <w:rFonts w:ascii="仿宋_GB2312" w:hAnsi="仿宋_GB2312" w:cs="仿宋_GB2312" w:hint="eastAsia"/>
          <w:bCs/>
          <w:szCs w:val="32"/>
        </w:rPr>
      </w:pPr>
      <w:r>
        <w:rPr>
          <w:rFonts w:ascii="仿宋_GB2312" w:hAnsi="仿宋_GB2312" w:cs="仿宋_GB2312" w:hint="eastAsia"/>
          <w:bCs/>
          <w:szCs w:val="32"/>
        </w:rPr>
        <w:t>6.销售费用:反映企业在销售过程中发生的包装费、广告费等相关费用，以及专设销售机构的职工薪酬、业务费等经营费用，应根据“销售费用”科目的发生额分析填列。</w:t>
      </w:r>
    </w:p>
    <w:p w:rsidR="00ED5D0A" w:rsidRDefault="00ED5D0A">
      <w:pPr>
        <w:adjustRightInd w:val="0"/>
        <w:snapToGrid w:val="0"/>
        <w:ind w:firstLineChars="200" w:firstLine="640"/>
        <w:rPr>
          <w:rFonts w:ascii="仿宋_GB2312" w:hAnsi="仿宋_GB2312" w:cs="仿宋_GB2312" w:hint="eastAsia"/>
          <w:bCs/>
          <w:szCs w:val="32"/>
        </w:rPr>
      </w:pPr>
      <w:r>
        <w:rPr>
          <w:rFonts w:ascii="仿宋_GB2312" w:hAnsi="仿宋_GB2312" w:cs="仿宋_GB2312" w:hint="eastAsia"/>
          <w:bCs/>
          <w:szCs w:val="32"/>
        </w:rPr>
        <w:t>7.研发费用:反映企业进行研究与开发过程中发生的费用化支出，以及计入管理费用的自行开发无形资产的摊销。该项目应根据“管理费用”科目下的“研究费用”明细科目的发生额，以及“管理费用”科目下的“无形资产摊销”明细科目的发生额分析填列。</w:t>
      </w:r>
    </w:p>
    <w:p w:rsidR="00ED5D0A" w:rsidRDefault="00ED5D0A">
      <w:pPr>
        <w:adjustRightInd w:val="0"/>
        <w:snapToGrid w:val="0"/>
        <w:ind w:firstLineChars="200" w:firstLine="640"/>
        <w:rPr>
          <w:rFonts w:ascii="仿宋_GB2312" w:hAnsi="仿宋_GB2312" w:cs="仿宋_GB2312" w:hint="eastAsia"/>
          <w:bCs/>
          <w:szCs w:val="32"/>
        </w:rPr>
      </w:pPr>
      <w:r>
        <w:rPr>
          <w:rFonts w:ascii="仿宋_GB2312" w:hAnsi="仿宋_GB2312" w:cs="仿宋_GB2312" w:hint="eastAsia"/>
          <w:bCs/>
          <w:szCs w:val="32"/>
        </w:rPr>
        <w:t>8.财务费用:反映企业为筹集生产经营所需资金等发生的费用，其中:利息费用、利息收入、汇兑净损失项目需单独列示，“利息费用”“利息收入”“汇兑净损失”项目均以正数填列。其中，“利息费用”反映企业为筹集生产经营所需资金等而发生的应予费用化的利息支出；“汇兑净损失”科目反映企业外币货币性项目因汇率变动形成的损失，若为汇兑净收益，则在“汇兑净损失”以“-”号填列。</w:t>
      </w:r>
    </w:p>
    <w:p w:rsidR="00ED5D0A" w:rsidRDefault="00ED5D0A">
      <w:pPr>
        <w:adjustRightInd w:val="0"/>
        <w:snapToGrid w:val="0"/>
        <w:ind w:firstLineChars="200" w:firstLine="640"/>
        <w:rPr>
          <w:rFonts w:ascii="仿宋_GB2312" w:hAnsi="仿宋_GB2312" w:cs="仿宋_GB2312" w:hint="eastAsia"/>
          <w:bCs/>
          <w:szCs w:val="32"/>
        </w:rPr>
      </w:pPr>
      <w:r>
        <w:rPr>
          <w:rFonts w:ascii="仿宋_GB2312" w:hAnsi="仿宋_GB2312" w:cs="仿宋_GB2312" w:hint="eastAsia"/>
          <w:bCs/>
          <w:szCs w:val="32"/>
        </w:rPr>
        <w:t>9.其他:反映石油石化企业勘探费用。</w:t>
      </w:r>
    </w:p>
    <w:p w:rsidR="00ED5D0A" w:rsidRDefault="00ED5D0A">
      <w:pPr>
        <w:adjustRightInd w:val="0"/>
        <w:snapToGrid w:val="0"/>
        <w:ind w:firstLineChars="200" w:firstLine="640"/>
        <w:rPr>
          <w:rFonts w:ascii="仿宋_GB2312" w:hAnsi="仿宋_GB2312" w:cs="仿宋_GB2312" w:hint="eastAsia"/>
          <w:bCs/>
          <w:szCs w:val="32"/>
        </w:rPr>
      </w:pPr>
      <w:r>
        <w:rPr>
          <w:rFonts w:ascii="仿宋_GB2312" w:hAnsi="仿宋_GB2312" w:cs="仿宋_GB2312" w:hint="eastAsia"/>
          <w:bCs/>
          <w:szCs w:val="32"/>
        </w:rPr>
        <w:t>10.其他收益:反映企业计入其他收益的政府补助（政府补助指企业从政府无偿取得货币性资产或非货币性资产，但不包括政府作为企业所有者投入的资本）、债务重组中因处置非金融资产产生的利得和损失、代扣个人所得税手续费返还等。</w:t>
      </w:r>
    </w:p>
    <w:p w:rsidR="00ED5D0A" w:rsidRDefault="00ED5D0A">
      <w:pPr>
        <w:adjustRightInd w:val="0"/>
        <w:snapToGrid w:val="0"/>
        <w:ind w:firstLineChars="200" w:firstLine="640"/>
        <w:rPr>
          <w:rFonts w:ascii="仿宋_GB2312" w:hAnsi="仿宋_GB2312" w:cs="仿宋_GB2312" w:hint="eastAsia"/>
          <w:bCs/>
          <w:szCs w:val="32"/>
        </w:rPr>
      </w:pPr>
      <w:r>
        <w:rPr>
          <w:rFonts w:ascii="仿宋_GB2312" w:hAnsi="仿宋_GB2312" w:cs="仿宋_GB2312" w:hint="eastAsia"/>
          <w:bCs/>
          <w:szCs w:val="32"/>
        </w:rPr>
        <w:lastRenderedPageBreak/>
        <w:t>11.投资收益:反映企业以各种方式对外投资所取得的收益，应根据“投资收益”科目的发生额分析填列。如为投资损失以“-”号填列。其中，“对联营企业和合营企业的投资收益”、“☆以摊余成本计量的金融资产终止确认收益”单独列示。其中,“☆以摊余成本计量的金融资产终止确认收益”项目，反映企业因转让等情形导致终止确认以摊余成本计量的金融资产而产生的利得或损失。该项目应根据“投资收益”科目的相关明细科目的发生额分析填列；如为损失，以“-”号填列。</w:t>
      </w:r>
    </w:p>
    <w:p w:rsidR="00ED5D0A" w:rsidRDefault="00ED5D0A">
      <w:pPr>
        <w:adjustRightInd w:val="0"/>
        <w:snapToGrid w:val="0"/>
        <w:ind w:firstLineChars="200" w:firstLine="640"/>
        <w:rPr>
          <w:rFonts w:ascii="仿宋_GB2312" w:hAnsi="仿宋_GB2312" w:cs="仿宋_GB2312" w:hint="eastAsia"/>
          <w:bCs/>
          <w:szCs w:val="32"/>
        </w:rPr>
      </w:pPr>
      <w:r>
        <w:rPr>
          <w:rFonts w:ascii="仿宋_GB2312" w:hAnsi="仿宋_GB2312" w:cs="仿宋_GB2312" w:hint="eastAsia"/>
          <w:bCs/>
          <w:szCs w:val="32"/>
        </w:rPr>
        <w:t>12.☆净敞口套期收益:反映净敞口套期下被套期项目累计公允价值变动转入当期损益的金额或现金流量套期储备转入当期损益的金额。该项目应根据“净敞口套期损益”科目的发生额分析填列；如为套期损失，以“-”号填列。</w:t>
      </w:r>
    </w:p>
    <w:p w:rsidR="00ED5D0A" w:rsidRDefault="00ED5D0A">
      <w:pPr>
        <w:adjustRightInd w:val="0"/>
        <w:snapToGrid w:val="0"/>
        <w:ind w:firstLineChars="200" w:firstLine="640"/>
        <w:rPr>
          <w:rFonts w:ascii="仿宋_GB2312" w:hAnsi="仿宋_GB2312" w:cs="仿宋_GB2312" w:hint="eastAsia"/>
          <w:bCs/>
          <w:szCs w:val="32"/>
        </w:rPr>
      </w:pPr>
      <w:r>
        <w:rPr>
          <w:rFonts w:ascii="仿宋_GB2312" w:hAnsi="仿宋_GB2312" w:cs="仿宋_GB2312" w:hint="eastAsia"/>
          <w:bCs/>
          <w:szCs w:val="32"/>
        </w:rPr>
        <w:t>13.公允价值变动收益:反映企业应当计入当期损益的资产或负债公允价值变动收益，应根据“公允价值变动损益”科目发生额分析填列，如为净损失以“-”号填列。</w:t>
      </w:r>
    </w:p>
    <w:p w:rsidR="00ED5D0A" w:rsidRDefault="00ED5D0A">
      <w:pPr>
        <w:adjustRightInd w:val="0"/>
        <w:snapToGrid w:val="0"/>
        <w:ind w:firstLineChars="200" w:firstLine="640"/>
        <w:rPr>
          <w:rFonts w:ascii="仿宋_GB2312" w:hAnsi="仿宋_GB2312" w:cs="仿宋_GB2312" w:hint="eastAsia"/>
          <w:bCs/>
          <w:szCs w:val="32"/>
        </w:rPr>
      </w:pPr>
      <w:r>
        <w:rPr>
          <w:rFonts w:ascii="仿宋_GB2312" w:hAnsi="仿宋_GB2312" w:cs="仿宋_GB2312" w:hint="eastAsia"/>
          <w:bCs/>
          <w:szCs w:val="32"/>
        </w:rPr>
        <w:t>14.☆信用减值损失:反映企业按照《企业会计准则第22号——金融工具确认和计量》（2017年修订）的要求计提的各项金融工具减值准备所形成的预期信用损失，损失以“-”号填列。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15.资产减值损失:反映除按照《企业会计准则第22号——金融工具确认和计量》（2017年修订）要求计提的各项预期信用损失外，企业针对其他资产计提减值准备所形成的各项减值损失，损失以“-”号填列。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lastRenderedPageBreak/>
        <w:t>16.资产处置收益:反映企业出售划分为持有待售的非流动资产（金融工具、长期股权投资和投资性房地产除外）或处置组时确认的处置利得或损失，以及处置未划分为持有待售的固定资产、在建工程、生产性生物资产及无形资产而产生的处置利得或损失。非货币性资产交换中换出非流动资产（金融工具、长期股权投资、投资性房地产除外）产生的利得或损失也包括在本项目内。</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17.营业外收入:反映企业发生的除营业利润以外的收益，主要包括与企业日常活动无关的政府补助、盘盈利得、捐赠利得（企业接受股东或股东的子公司直接或间接的捐赠，经济实质属于股东对企业的资本性投入的除外）等。</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18.营业外支出:反映企业发生的除营业利润以外的支出，主要包括公益性捐赠支出、非常损失、盘亏损失、非流动资产毁损报废损失等。企业在不同交易中形成的非流动资产毁损报废利得和损失不得相互抵销，应分别在“营业外收入”项目和“营业外支出”项目进行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19.所得税费用:反映企业应从当期利润总额中扣除的所得税费用，包括当期所得税和递延所得税两个部分。</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20.净利润:按归属分，包括归属于母公司所有者的净利润和少数股东损益两部分内容；按经营的持续性分，包括持续经营净利润和终止经营净利润两部分内容。不符合终止经营定义的持有待售的非流动资产或处置组，其减值损失和转回金额及处置损益</w:t>
      </w:r>
      <w:r>
        <w:rPr>
          <w:rFonts w:ascii="仿宋_GB2312" w:hAnsi="仿宋_GB2312" w:cs="仿宋_GB2312" w:hint="eastAsia"/>
          <w:bCs/>
          <w:szCs w:val="32"/>
        </w:rPr>
        <w:lastRenderedPageBreak/>
        <w:t>应当作为持续经营净利润列报。企业终止经营的减值损失和转回金额等经营损益及处置损益应当作为终止经营净利润列报。</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21.其他综合收益的税后净额:反映企业根据企业会计准则规定未在当期损益中确认的各项利得和损失扣除所得税影响后的净额。其中归属于母公司所有者的其他综合收益的税后净额须按照能否重分类进损益单独列示以下项目:</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（1）不能重分类进损益的其他综合收益项目，主要包括:重新计量设定受益计划变动额、权益法下不能转损益的其他综合收益、其他权益工具投资公允价值变动、企业自身信用风险公允价值变动。其中:</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“☆其他权益工具投资公允价值变动”项目，反映企业指定为以公允价值计量且其变动计入其他综合收益的非交易性权益工具投资发生的公允价值变动；</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“☆企业自身信用风险公允价值变动”项目，反映企业指定为以公允价值计量且其变动计入当期损益的金融负债，由企业自身信用风险变动引起的公允价值变动而计入其他综合收益的金额。</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2）将重分类进损益的其他综合收益项目，主要包括:权益法下可损益的其他综合收益、其他债权投资公允价值变动、可供出售金融资产公允价值变动损益、金融资产重分类计入其他综合收益的金额、持有至到期投资重分类为可供出售金融资产损益、其他债权投资信用减值准备、现金流量套期储备（现金流量抬起</w:t>
      </w:r>
      <w:r>
        <w:rPr>
          <w:rFonts w:ascii="仿宋_GB2312" w:hAnsi="仿宋_GB2312" w:cs="仿宋_GB2312" w:hint="eastAsia"/>
          <w:bCs/>
          <w:szCs w:val="32"/>
        </w:rPr>
        <w:lastRenderedPageBreak/>
        <w:t>损益的有效部分）、外币财务报表折算差额。其中:</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其他债权投资公允价值变动”项目，用于已执行新金融工具准则的企业使用，反映企业分类为以公允价值计量且其变动计入其他综合收益的债权投资发生的公允价值变动。企业将一项以公允价值计量且其变动计入其他综合收益的金融资产重分类为以摊余成本计量的金融资产，或重分类为以公允价值计量且其变动计入当期损益的金融资产时，之前计入其他综合收益的累计利得或损失从其他综合收益中转出的金额作为该项目的减项。</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“可供出售金融资产公允价值变动损益”项目，反映企业可供出售金融资产的公允价值变动形成的利得或损失。</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金融资产重分类计入其他综合收益的金额”项目，用于已执行新金融工具准则的企业使用，反映企业将一项以摊余成本计量的金融资产重分类为以公允价值计量且其变动计入其他综合收益的金融资产时，计入其他综合收益的原账面价值与公允价值之间的差额。</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“持有至到期投资重分类为可供出售金融资产损益”项目，反映企业持有至到期投资重分类为可供出售金融资产形成的利得和损失。</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其他债权投资信用减值准备”项目，用于已执行新金融工具准则的企业使用，反映企业按照《企业会计准则第22号——金融工具确认和计量》（2017年修订）第十八条分类为以公允价值计量且其变动计入其他综合收益的金融资产的损失准备。</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lastRenderedPageBreak/>
        <w:t>“现金流量套期储备（现金流量套期损益的有效部分）”项目，反映企业套期工具产生的利得或损失中属于套期有效的部分。</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22.综合收益总额:反映企业在某一期间除与所有者以其所有者身份进行的交易之外的其他交易或事项所引起所有者权益变动。综合收益总额项目反映净利润和其他综合收益扣除所得税影响后的净额相加后的合计金额。</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23.每股收益:反映普通股股东每持有一股所能享有的企业利润或承担的亏损，包括基本每股收益和稀释每股收益。仅由普通股或潜在普通股已公开交易的企业，以及正处于公开发行普通股或潜在普通股过程中的企业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基本每股收益:反映股份有限公司仅考虑当期实际发行在外的普通股股份计算的每股收益，按照归属于普通股股东的当期净利润，除以当期实际发行在外普通股的加权平均数计算确定。</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稀释每股收益:反映股份有限公司以基本每股收益为基础，假设企业所有发行在外的稀释性潜在普通股均已转换为普通股，从而分别调整归属于普通股股东的当期净利润以及发行在外普通股的加权平均数而计算的每股收益。</w:t>
      </w:r>
    </w:p>
    <w:p w:rsidR="00ED5D0A" w:rsidRDefault="00ED5D0A">
      <w:pPr>
        <w:ind w:firstLineChars="200" w:firstLine="643"/>
        <w:rPr>
          <w:rFonts w:ascii="楷体_GB2312" w:eastAsia="楷体_GB2312" w:hAnsi="楷体_GB2312" w:cs="楷体_GB2312" w:hint="eastAsia"/>
          <w:b/>
          <w:szCs w:val="32"/>
        </w:rPr>
      </w:pPr>
      <w:r>
        <w:rPr>
          <w:rFonts w:ascii="楷体_GB2312" w:eastAsia="楷体_GB2312" w:hAnsi="楷体_GB2312" w:cs="楷体_GB2312" w:hint="eastAsia"/>
          <w:b/>
          <w:szCs w:val="32"/>
        </w:rPr>
        <w:t>（三）表内、表间关系</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详见决算报表任务格式。</w:t>
      </w:r>
    </w:p>
    <w:p w:rsidR="00ED5D0A" w:rsidRDefault="00ED5D0A">
      <w:pPr>
        <w:ind w:firstLineChars="200" w:firstLine="640"/>
        <w:rPr>
          <w:rFonts w:ascii="楷体_GB2312" w:eastAsia="楷体_GB2312" w:hAnsi="楷体_GB2312" w:cs="楷体_GB2312" w:hint="eastAsia"/>
          <w:b/>
          <w:szCs w:val="32"/>
        </w:rPr>
      </w:pPr>
      <w:r>
        <w:rPr>
          <w:rFonts w:ascii="黑体" w:eastAsia="黑体" w:hAnsi="黑体" w:cs="黑体" w:hint="eastAsia"/>
          <w:szCs w:val="32"/>
        </w:rPr>
        <w:t>三、所有者权益变动表</w:t>
      </w:r>
    </w:p>
    <w:p w:rsidR="00ED5D0A" w:rsidRDefault="00ED5D0A">
      <w:pPr>
        <w:ind w:firstLineChars="200" w:firstLine="643"/>
        <w:rPr>
          <w:rFonts w:ascii="楷体_GB2312" w:eastAsia="楷体_GB2312" w:hAnsi="楷体_GB2312" w:cs="楷体_GB2312" w:hint="eastAsia"/>
          <w:b/>
          <w:szCs w:val="32"/>
        </w:rPr>
      </w:pPr>
      <w:r>
        <w:rPr>
          <w:rFonts w:ascii="楷体_GB2312" w:eastAsia="楷体_GB2312" w:hAnsi="楷体_GB2312" w:cs="楷体_GB2312" w:hint="eastAsia"/>
          <w:b/>
          <w:szCs w:val="32"/>
        </w:rPr>
        <w:t>（一）基本内容</w:t>
      </w:r>
    </w:p>
    <w:p w:rsidR="00ED5D0A" w:rsidRDefault="00ED5D0A">
      <w:pPr>
        <w:adjustRightInd w:val="0"/>
        <w:snapToGrid w:val="0"/>
        <w:ind w:firstLineChars="200" w:firstLine="640"/>
        <w:rPr>
          <w:rFonts w:ascii="楷体_GB2312" w:eastAsia="楷体_GB2312" w:hAnsi="楷体_GB2312" w:cs="楷体_GB2312" w:hint="eastAsia"/>
          <w:b/>
          <w:szCs w:val="32"/>
        </w:rPr>
      </w:pPr>
      <w:r>
        <w:rPr>
          <w:rFonts w:ascii="仿宋_GB2312" w:hAnsi="仿宋_GB2312" w:cs="仿宋_GB2312" w:hint="eastAsia"/>
          <w:bCs/>
          <w:szCs w:val="32"/>
        </w:rPr>
        <w:lastRenderedPageBreak/>
        <w:t>本表反映企业所有者权益的各组成部分本年和上年年初调整及本年和上年增减变动的情况，不仅包括所有者权益总量的增减变动，还包括所有者权益增减变动的重要结构性信息。“少数股东权益”栏目用于反映合并报表中少数股东权益变动的情况。</w:t>
      </w:r>
    </w:p>
    <w:p w:rsidR="00ED5D0A" w:rsidRDefault="00ED5D0A">
      <w:pPr>
        <w:ind w:firstLineChars="200" w:firstLine="643"/>
        <w:rPr>
          <w:rFonts w:ascii="楷体_GB2312" w:eastAsia="楷体_GB2312" w:hAnsi="楷体_GB2312" w:cs="楷体_GB2312" w:hint="eastAsia"/>
          <w:b/>
          <w:szCs w:val="32"/>
        </w:rPr>
      </w:pPr>
      <w:r>
        <w:rPr>
          <w:rFonts w:ascii="楷体_GB2312" w:eastAsia="楷体_GB2312" w:hAnsi="楷体_GB2312" w:cs="楷体_GB2312" w:hint="eastAsia"/>
          <w:b/>
          <w:szCs w:val="32"/>
        </w:rPr>
        <w:t>（二）编制方法</w:t>
      </w:r>
    </w:p>
    <w:p w:rsidR="00ED5D0A" w:rsidRDefault="00ED5D0A">
      <w:pPr>
        <w:pStyle w:val="20"/>
        <w:spacing w:line="580" w:lineRule="exact"/>
        <w:ind w:right="586" w:firstLineChars="200" w:firstLine="640"/>
        <w:rPr>
          <w:rFonts w:ascii="楷体_GB2312" w:eastAsia="楷体_GB2312" w:hAnsi="楷体_GB2312" w:cs="楷体_GB2312" w:hint="eastAsia"/>
          <w:b/>
          <w:szCs w:val="32"/>
        </w:rPr>
      </w:pPr>
      <w:r>
        <w:rPr>
          <w:rFonts w:ascii="仿宋_GB2312" w:hAnsi="仿宋_GB2312" w:cs="仿宋_GB2312" w:hint="eastAsia"/>
          <w:bCs/>
          <w:szCs w:val="32"/>
        </w:rPr>
        <w:t>本表各项目应根据“实收资本（或股本）”“其他权益工具”“资本公积”“库存股”“其他综合收益”“专项储备”“盈余公积”“利润分配”等科目本年和上年的年初余额、年末余额、当年发生额等分析填列。编制合并财务报表的企业，应按照合并报表口径填报本表中的有关项目。</w:t>
      </w:r>
    </w:p>
    <w:p w:rsidR="00ED5D0A" w:rsidRDefault="00ED5D0A">
      <w:pPr>
        <w:ind w:firstLineChars="200" w:firstLine="643"/>
        <w:rPr>
          <w:rFonts w:ascii="楷体_GB2312" w:eastAsia="楷体_GB2312" w:hAnsi="楷体_GB2312" w:cs="楷体_GB2312" w:hint="eastAsia"/>
          <w:b/>
          <w:szCs w:val="32"/>
        </w:rPr>
      </w:pPr>
      <w:r>
        <w:rPr>
          <w:rFonts w:ascii="楷体_GB2312" w:eastAsia="楷体_GB2312" w:hAnsi="楷体_GB2312" w:cs="楷体_GB2312" w:hint="eastAsia"/>
          <w:b/>
          <w:szCs w:val="32"/>
        </w:rPr>
        <w:t>（三）表内有关指标解释</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1.其他:反映企业本年和上年同一控制下企业合并、清产核资、执行新准则（新租赁准则、新金融工具准则与新收入准则）等影响的金额。</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2.本年年初余额:5行1-14栏反映企业考虑本年会计政策变更及前期差错更正等对以前年度的影响调整后得出的本年初所有者权益金额。</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3.本年年末余额:33行1-14栏反映企业本年年末所有者权益金额。</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4.本年增减变动金额:</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（1）净利润:反映企业当年实现的净利润（或净亏损）金额，对应列在“未分配利润”栏。</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lastRenderedPageBreak/>
        <w:t>（2）其他综合收益:反映企业根据企业会计准则规定未在损益中确认而直接计入所有者权益的各项利得和损失扣除所得税影响后的净额。</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（3）综合收益总额:反映企业当年的综合收益总额，应根据当年利润表中“其他综合收益的税后净额”和“净利润”项目填列，对应列在“其他综合收益”和“未分配利润”栏。</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（4）所有者投入和减少资本:反映企业当年所有者投入的资本和减少的资本，其中:</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①所有者投入普通股:反映企业接受普通股投资者投入形成的实收资本（或股本）和资本公积，应根据“实收资本”“资本公积”等科目发生额分析填列。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②其他权益工具持有者投入资本:反映企业接受其他权益工具持有者投入形成的实收资本（或股本）和资本公积，应根据“实收资本”“资本公积”等科目发生额分析填列。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③股份支付计入所有者权益的金额:反映企业处于等待期中的权益结算的股份支付当年计入资本公积的金额，应根据“资本公积”科目所属的“其他资本公积”二级科目的发生额分析填列。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（5）专项储备提取和使用:反映企业当年专项储备的提取和使用情况。</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①提取专项储备:反映企业当年依照国家有关规定提取的安全费用以及具有类似性质的各项费用，对应列在“专项储备”栏。</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②使用专项储备:反映企业当年按规定使用安全生产储备用</w:t>
      </w:r>
      <w:r>
        <w:rPr>
          <w:rFonts w:ascii="仿宋_GB2312" w:hAnsi="仿宋_GB2312" w:cs="仿宋_GB2312" w:hint="eastAsia"/>
          <w:bCs/>
          <w:szCs w:val="32"/>
        </w:rPr>
        <w:lastRenderedPageBreak/>
        <w:t>于购建安全防护设备或与安全生产相关的费用性支出情况，对应列在“专项储备”栏。</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（6）利润分配:反映企业当年按照规定提取的盈余公积金额和对所有者（或股东）分配的利润（或股利）金额，对应列在“盈余公积”和“未分配利润”栏。其中:</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①提取盈余公积:反映企业按照规定提取的盈余公积、储备基金、企业发展基金项目、中外合作经营在合作期间归还投资者的投资等项目。</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②对所有者（或股东）的分配:反映企业对所有者（或股东）分配的利润（或股利）金额。</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（7）所有者权益内部结转:反映不影响当年所有者权益总额的所有者权益各组成部分之间当年的增减变动。其中:</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①资本公积转增资本（或股本）:反映企业以资本公积转增资本或股本的金额。</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②盈余公积转增资本（或股本）:反映企业以盈余公积转增资本或股本的金额。</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③盈余公积弥补亏损:反映企业以盈余公积弥补亏损的金额。</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④设定受益计划变动额结转留存收益:反映按年计算的设定收益计划增减变动结转所有者权益的数额。</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⑤☆其他综合收益结转留存收益:Ⅰ.反映企业指定为以公允价值计量且其变动计入其他综合收益的非交易性权益工具投资</w:t>
      </w:r>
      <w:r>
        <w:rPr>
          <w:rFonts w:ascii="仿宋_GB2312" w:hAnsi="仿宋_GB2312" w:cs="仿宋_GB2312" w:hint="eastAsia"/>
          <w:bCs/>
          <w:szCs w:val="32"/>
        </w:rPr>
        <w:lastRenderedPageBreak/>
        <w:t>终止确认时，之前计入其他综合收益的累计利得或损失从其他综合收益中转入留存收益的金额；Ⅱ.反映企业指定为以公允价值计量且其变动计入当期损益的金融负债终止确认时，之前由企业自身信用风险变动引起而计入其他综合收益的累计利得或损失从其他综合收益中转入留存收益的金额等。该项目应根据“其他综合收益”科目的相关明细科目的发生额分析填列。</w:t>
      </w:r>
    </w:p>
    <w:p w:rsidR="00ED5D0A" w:rsidRDefault="00ED5D0A">
      <w:pPr>
        <w:ind w:firstLineChars="200" w:firstLine="643"/>
        <w:rPr>
          <w:rFonts w:ascii="楷体_GB2312" w:eastAsia="楷体_GB2312" w:hAnsi="楷体_GB2312" w:cs="楷体_GB2312" w:hint="eastAsia"/>
          <w:b/>
          <w:szCs w:val="32"/>
        </w:rPr>
      </w:pPr>
      <w:r>
        <w:rPr>
          <w:rFonts w:ascii="楷体_GB2312" w:eastAsia="楷体_GB2312" w:hAnsi="楷体_GB2312" w:cs="楷体_GB2312" w:hint="eastAsia"/>
          <w:b/>
          <w:szCs w:val="32"/>
        </w:rPr>
        <w:t>（四）表内、表间关系</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详见决算报表任务格式。</w:t>
      </w:r>
    </w:p>
    <w:p w:rsidR="00ED5D0A" w:rsidRDefault="00ED5D0A">
      <w:pPr>
        <w:ind w:firstLineChars="200" w:firstLine="640"/>
        <w:rPr>
          <w:rFonts w:ascii="黑体" w:eastAsia="黑体" w:hAnsi="黑体" w:cs="黑体" w:hint="eastAsia"/>
          <w:szCs w:val="32"/>
        </w:rPr>
      </w:pPr>
      <w:r>
        <w:rPr>
          <w:rFonts w:ascii="黑体" w:eastAsia="黑体" w:hAnsi="黑体" w:cs="黑体" w:hint="eastAsia"/>
          <w:szCs w:val="32"/>
        </w:rPr>
        <w:t>四、国有资本变动情况表</w:t>
      </w:r>
    </w:p>
    <w:p w:rsidR="00ED5D0A" w:rsidRDefault="00ED5D0A">
      <w:pPr>
        <w:ind w:firstLineChars="200" w:firstLine="643"/>
        <w:rPr>
          <w:rFonts w:ascii="楷体_GB2312" w:eastAsia="楷体_GB2312" w:hAnsi="楷体_GB2312" w:cs="楷体_GB2312" w:hint="eastAsia"/>
          <w:b/>
          <w:szCs w:val="32"/>
        </w:rPr>
      </w:pPr>
      <w:r>
        <w:rPr>
          <w:rFonts w:ascii="楷体_GB2312" w:eastAsia="楷体_GB2312" w:hAnsi="楷体_GB2312" w:cs="楷体_GB2312" w:hint="eastAsia"/>
          <w:b/>
          <w:szCs w:val="32"/>
        </w:rPr>
        <w:t>（一）基本内容</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本表反映企业占用国有资本总量以及由于各种原因影响国有资本权益增减变动的情况。</w:t>
      </w:r>
    </w:p>
    <w:p w:rsidR="00ED5D0A" w:rsidRDefault="00ED5D0A">
      <w:pPr>
        <w:ind w:firstLineChars="200" w:firstLine="643"/>
        <w:rPr>
          <w:rFonts w:ascii="楷体_GB2312" w:eastAsia="楷体_GB2312" w:hAnsi="楷体_GB2312" w:cs="楷体_GB2312" w:hint="eastAsia"/>
          <w:b/>
          <w:szCs w:val="32"/>
        </w:rPr>
      </w:pPr>
      <w:r>
        <w:rPr>
          <w:rFonts w:ascii="楷体_GB2312" w:eastAsia="楷体_GB2312" w:hAnsi="楷体_GB2312" w:cs="楷体_GB2312" w:hint="eastAsia"/>
          <w:b/>
          <w:szCs w:val="32"/>
        </w:rPr>
        <w:t>（二）编制方法</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本表应根据企业本年国粮19年汇02表等相关科目数据分析填列。编制合并财务报表的企业，应按照合并报表口径填报本表中的有关项目。</w:t>
      </w:r>
    </w:p>
    <w:p w:rsidR="00ED5D0A" w:rsidRDefault="00ED5D0A">
      <w:pPr>
        <w:ind w:firstLineChars="200" w:firstLine="643"/>
        <w:rPr>
          <w:rFonts w:ascii="楷体_GB2312" w:eastAsia="楷体_GB2312" w:hAnsi="楷体_GB2312" w:cs="楷体_GB2312" w:hint="eastAsia"/>
          <w:b/>
          <w:szCs w:val="32"/>
        </w:rPr>
      </w:pPr>
      <w:r>
        <w:rPr>
          <w:rFonts w:ascii="楷体_GB2312" w:eastAsia="楷体_GB2312" w:hAnsi="楷体_GB2312" w:cs="楷体_GB2312" w:hint="eastAsia"/>
          <w:b/>
          <w:szCs w:val="32"/>
        </w:rPr>
        <w:t>（三）表内有关指标解释</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1.国有资本权益总额:指企业所有者权益中，国有实收资本及其享有的权益额。属于合资、合作、股份制等多元投资主体性质的企业，国有资本享有的权益年初、年末余额按以下公式计算填列: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（资本公积+盈余公积+未分配利润+其他综合收益+专项储</w:t>
      </w:r>
      <w:r>
        <w:rPr>
          <w:rFonts w:ascii="仿宋_GB2312" w:hAnsi="仿宋_GB2312" w:cs="仿宋_GB2312" w:hint="eastAsia"/>
          <w:bCs/>
          <w:szCs w:val="32"/>
        </w:rPr>
        <w:lastRenderedPageBreak/>
        <w:t>备+一般风险准备－国有独享部分）×（国有实收资本/实收资本）+国有独享部分。</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国家独享部分包括国家专项拨款、各项基金转入、土地估价入账、税收返还或专项减免、国家拨付流动资本等政策因素形成的国家独享权益数额。</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2.年初国有资本权益总额:反映企业根据国家财务会计制度有关规定，对上年年末国有资本及权益总额追溯调整后形成的本年年初国有资本及权益总额。</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3.经营积累、经营减值:反映企业当期生产经营实现的净利润（或亏损）扣除因客观原因影响当期损益而增加（或减少）国有资本及权益的数额，应根据财企02表分析填列。企业当期无法支付的应付款项、未确认的投资损失、外币报表折算差额作为企业当期经营因素，而不确认为国有资产管理部门国有资本保值增值客观因素。</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4.国家、国有单位直接或追加投资:反映有权代表国家投资的部门或机构本年投资设立企业或对原企业追加投入所增加的国家资本；国有企、事业单位本年投资设立企业或对原企业增加投入所增加的国有法人资本。</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5.无偿划入、无偿划出:分别反映企业当年按国家有关规定将其他企业（单位）的国有资产全部或部分划入、划出本企业（单位）而造成国有资本及其权益增加、减少的数额。按规定已经进行追溯调整的不在本项目反映。</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lastRenderedPageBreak/>
        <w:t>6.资本（股本）溢价:反映由于资本（股本）溢价而影响国有资本及权益增减变动的数额。</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7.接受捐赠:反映企业当年接受其他企业、单位和个人捐赠的资产而增加的国有资本及权益。</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8.债权转股权:反映企业按国家规定，将银行债权转为金融资产管理公司投资而增加的国有资本及权益。</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9.税收返还:反映企业按国家有关规定，收到返还的所得税、增值税等而直接增加的国有资本及权益。企业享受行业性的税收返回政策，不在本项目中反映。</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10.因主辅分离减少:反映企业按照《关于国有大中型企业主辅分离辅业改制分流安置富余人员的实施办法》（国经贸企改〔2002〕859号）开展主辅分离、辅业改制工作，本年度减少的国有资本及权益数额。</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11.企业按规定上缴利润:反映企业按照有关政策、制度规定分配给投资者红利而减少的国有资本及权益。</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12.资本（股本）折价:反映企业以全部或主要资产折价发行股票或配股而减少的国有资本及权益。</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13.资产评估增加、减少:分别反映企业当年因改制、上市等原因按国家规定进行资产评估而造成国有资本及权益增加、减少的数额。</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14.清产核资增加、减少:分别反映企业按规定程序进行清产核资后，经国有资产监管（财政）部门批复而当年增加、减少国</w:t>
      </w:r>
      <w:r>
        <w:rPr>
          <w:rFonts w:ascii="仿宋_GB2312" w:hAnsi="仿宋_GB2312" w:cs="仿宋_GB2312" w:hint="eastAsia"/>
          <w:bCs/>
          <w:szCs w:val="32"/>
        </w:rPr>
        <w:lastRenderedPageBreak/>
        <w:t>有资本及权益的数额。按规定已经进行追溯调整的不在本项目反映。</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15.产权界定增加、减少:分别反映企业因产权界定增加、减少国有资本及权益的数额。</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16.减值准备转回:反映企业经营期间因资产价值回升等原因转回已计提减值准备影响当期损益而增加的国有资本及权益。</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17.会计调整:反映企业经营期间因会计政策和会计估计发生重大变更、前期差错调整以及其他会计调整事项影响当期损益而增加的国有资本及权益。涉及减值准备会计政策与估计变更以及差错调整事项影响当期损益而增加的国有资本及权益在“减值准备转回”项目中反映。</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18.消化以前年度潜亏和挂账而减少:反映企业当年消化的按照有关规定统一组织清产核资基准日以前（中央企业为2003年底以前）发生的潜亏挂账而造成国有权益减少的数额，不包括非国有权益减少部分。该项目须经中介机构逐户、分明细项审计确认，并在审计报告中加以详细披露或作专项审计说明。</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19.因自然灾害等不可抗拒因素减少:反应企业因自然灾害等不可抗拒因素而发生的国有资本及权益减少。不可抗拒因素指不能预见、不能避免并不能克服的客观情况，一般情况下指地震、台风、火灾、水灾、雷击等自然灾害。</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20.中央和地方政府确定的其他因素:反映经中央和地方政府确定、未在上述客观因素中反映的增加或减少国有资本及权益的</w:t>
      </w:r>
      <w:r>
        <w:rPr>
          <w:rFonts w:ascii="仿宋_GB2312" w:hAnsi="仿宋_GB2312" w:cs="仿宋_GB2312" w:hint="eastAsia"/>
          <w:bCs/>
          <w:szCs w:val="32"/>
        </w:rPr>
        <w:lastRenderedPageBreak/>
        <w:t>金额。增加额和减少额应在表中分别填列。其中企业负担义务教育支出、股权分置改革引起的权益变动等也在此项列示。</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21.年末其他国有资金:反映年末不列入企业所有者权益，但由企业管理、使用的具有权益性质的国家所有的资金，如保险保障基金、特准储备基金、股份制改造剥离权益、国家专用拨款等。</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22.年末合计国有资本总量:反映企业国有资本及权益和其他国有资金的年末合计数。</w:t>
      </w:r>
    </w:p>
    <w:p w:rsidR="00ED5D0A" w:rsidRDefault="00ED5D0A">
      <w:pPr>
        <w:ind w:firstLineChars="200" w:firstLine="643"/>
        <w:rPr>
          <w:rFonts w:ascii="楷体_GB2312" w:eastAsia="楷体_GB2312" w:hAnsi="楷体_GB2312" w:cs="楷体_GB2312" w:hint="eastAsia"/>
          <w:b/>
          <w:szCs w:val="32"/>
        </w:rPr>
      </w:pPr>
      <w:r>
        <w:rPr>
          <w:rFonts w:ascii="楷体_GB2312" w:eastAsia="楷体_GB2312" w:hAnsi="楷体_GB2312" w:cs="楷体_GB2312" w:hint="eastAsia"/>
          <w:b/>
          <w:szCs w:val="32"/>
        </w:rPr>
        <w:t>（四）表内、表间关系</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详见决算报表任务格式。</w:t>
      </w:r>
    </w:p>
    <w:p w:rsidR="00ED5D0A" w:rsidRDefault="00ED5D0A">
      <w:pPr>
        <w:ind w:firstLineChars="200" w:firstLine="640"/>
        <w:rPr>
          <w:rFonts w:ascii="黑体" w:eastAsia="黑体" w:hAnsi="黑体" w:cs="黑体" w:hint="eastAsia"/>
          <w:szCs w:val="32"/>
        </w:rPr>
      </w:pPr>
      <w:r>
        <w:rPr>
          <w:rFonts w:ascii="黑体" w:eastAsia="黑体" w:hAnsi="黑体" w:cs="黑体" w:hint="eastAsia"/>
          <w:szCs w:val="32"/>
        </w:rPr>
        <w:t>五、资产减值准备情况表</w:t>
      </w:r>
    </w:p>
    <w:p w:rsidR="00ED5D0A" w:rsidRDefault="00ED5D0A">
      <w:pPr>
        <w:ind w:firstLineChars="200" w:firstLine="643"/>
        <w:rPr>
          <w:rFonts w:ascii="楷体_GB2312" w:eastAsia="楷体_GB2312" w:hAnsi="楷体_GB2312" w:cs="楷体_GB2312" w:hint="eastAsia"/>
          <w:b/>
          <w:szCs w:val="32"/>
        </w:rPr>
      </w:pPr>
      <w:r>
        <w:rPr>
          <w:rFonts w:ascii="楷体_GB2312" w:eastAsia="楷体_GB2312" w:hAnsi="楷体_GB2312" w:cs="楷体_GB2312" w:hint="eastAsia"/>
          <w:b/>
          <w:szCs w:val="32"/>
        </w:rPr>
        <w:t>（一）基本内容</w:t>
      </w:r>
    </w:p>
    <w:p w:rsidR="00ED5D0A" w:rsidRDefault="00ED5D0A">
      <w:pPr>
        <w:adjustRightInd w:val="0"/>
        <w:snapToGrid w:val="0"/>
        <w:ind w:firstLineChars="200" w:firstLine="640"/>
        <w:rPr>
          <w:rFonts w:ascii="仿宋_GB2312" w:hAnsi="仿宋_GB2312" w:cs="仿宋_GB2312" w:hint="eastAsia"/>
          <w:bCs/>
          <w:szCs w:val="32"/>
        </w:rPr>
      </w:pPr>
      <w:r>
        <w:rPr>
          <w:rFonts w:ascii="仿宋_GB2312" w:hAnsi="仿宋_GB2312" w:cs="仿宋_GB2312" w:hint="eastAsia"/>
          <w:bCs/>
          <w:szCs w:val="32"/>
        </w:rPr>
        <w:t>本表反映企业各项资产减值准备的年初账面余额、本期增减变动和期末账面余额，以及政策性挂账和当年处理以前年度损失和挂账等情况。其中，已执行新金融工具准则、新收入准则、新租赁准则以及发生其他期初数调整事项的企业，“年初账面余额”按照调整后金额进行填列。</w:t>
      </w:r>
    </w:p>
    <w:p w:rsidR="00ED5D0A" w:rsidRDefault="00ED5D0A">
      <w:pPr>
        <w:ind w:firstLineChars="200" w:firstLine="643"/>
        <w:rPr>
          <w:rFonts w:ascii="楷体_GB2312" w:eastAsia="楷体_GB2312" w:hAnsi="楷体_GB2312" w:cs="楷体_GB2312" w:hint="eastAsia"/>
          <w:b/>
          <w:szCs w:val="32"/>
        </w:rPr>
      </w:pPr>
      <w:r>
        <w:rPr>
          <w:rFonts w:ascii="楷体_GB2312" w:eastAsia="楷体_GB2312" w:hAnsi="楷体_GB2312" w:cs="楷体_GB2312" w:hint="eastAsia"/>
          <w:b/>
          <w:szCs w:val="32"/>
        </w:rPr>
        <w:t>（二）编制方法</w:t>
      </w:r>
    </w:p>
    <w:p w:rsidR="00ED5D0A" w:rsidRDefault="00ED5D0A">
      <w:pPr>
        <w:adjustRightInd w:val="0"/>
        <w:snapToGrid w:val="0"/>
        <w:ind w:firstLineChars="200" w:firstLine="640"/>
        <w:rPr>
          <w:rFonts w:ascii="仿宋_GB2312" w:hAnsi="仿宋_GB2312" w:cs="仿宋_GB2312" w:hint="eastAsia"/>
          <w:bCs/>
          <w:szCs w:val="32"/>
        </w:rPr>
      </w:pPr>
      <w:r>
        <w:rPr>
          <w:rFonts w:ascii="仿宋_GB2312" w:hAnsi="仿宋_GB2312" w:cs="仿宋_GB2312" w:hint="eastAsia"/>
          <w:bCs/>
          <w:szCs w:val="32"/>
        </w:rPr>
        <w:t>1.本表各项目应根据各项资产减值准备明细科目分析填列。</w:t>
      </w:r>
    </w:p>
    <w:p w:rsidR="00ED5D0A" w:rsidRDefault="00ED5D0A">
      <w:pPr>
        <w:adjustRightInd w:val="0"/>
        <w:snapToGrid w:val="0"/>
        <w:ind w:firstLineChars="200" w:firstLine="640"/>
        <w:rPr>
          <w:rFonts w:ascii="仿宋_GB2312" w:hAnsi="仿宋_GB2312" w:cs="仿宋_GB2312" w:hint="eastAsia"/>
          <w:bCs/>
          <w:szCs w:val="32"/>
        </w:rPr>
      </w:pPr>
      <w:r>
        <w:rPr>
          <w:rFonts w:ascii="仿宋_GB2312" w:hAnsi="仿宋_GB2312" w:cs="仿宋_GB2312" w:hint="eastAsia"/>
          <w:bCs/>
          <w:szCs w:val="32"/>
        </w:rPr>
        <w:t>2.编制合并财务报表的企业，应按照合并报表口径填报本表中的有关项目。</w:t>
      </w:r>
    </w:p>
    <w:p w:rsidR="00ED5D0A" w:rsidRDefault="00ED5D0A">
      <w:pPr>
        <w:pStyle w:val="30"/>
        <w:spacing w:line="580" w:lineRule="exact"/>
        <w:ind w:firstLine="643"/>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（三）表内有关指标解释</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1.坏账准备:反映企业应收款项的坏账准备。按账龄计提坏账</w:t>
      </w:r>
      <w:r>
        <w:rPr>
          <w:rFonts w:ascii="仿宋_GB2312" w:hAnsi="仿宋_GB2312" w:cs="仿宋_GB2312" w:hint="eastAsia"/>
          <w:bCs/>
          <w:szCs w:val="32"/>
        </w:rPr>
        <w:lastRenderedPageBreak/>
        <w:t>准备当期应冲减的金额在“本期计提额”中以负数形式反映。金融企业计提的“应收款项类金融资产减值准备”填列此处。</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2.存货跌价准备:反映企业按照成本高于可变现净值的差额计提的存货跌价准备。执行新准则企业适用《企业会计准则第1号——存货》。</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3.☆合同资产减值准备:用于已执行新收入准则的企业使用，反映企业执行《企业会计准则第14号——收入》、《企业会计准则第22号——金融工具确认和计量》、《企业会计准则第8号——资产减值》等准则，以预期信用损失为基础，对合同资产项目进行减值会计处理并确认损失准备。</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4.持有待售资产减值准备:反映企业执行《企业会计准则第42号——持有待售的非流动资产、处置组和终止经营》规定计提的持有待售资产减值准备。</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5.☆债权投资减值准备:用于已执行新金融工具准则的企业使用，反映企业执行《企业会计准则第22号——融工具确认和计量》、《企业会计准则第8号——资产减值》等准则，企业应以预期信用损失为基础，对分类为以摊余成本计量的金融资产和以公允价值计量且其变动计入其他综合收益的金融资产进行会计处理并确认损失准备。</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6.可供出售金融资产减值准备:用于未执行新金融工具准则的企业使用，反映企业在期末对各项可供出售的金融资产进行全面检查，有客观证据表明该金融资产发生减值的，所计提的减值</w:t>
      </w:r>
      <w:r>
        <w:rPr>
          <w:rFonts w:ascii="仿宋_GB2312" w:hAnsi="仿宋_GB2312" w:cs="仿宋_GB2312" w:hint="eastAsia"/>
          <w:bCs/>
          <w:szCs w:val="32"/>
        </w:rPr>
        <w:lastRenderedPageBreak/>
        <w:t>准备。执行新准则企业适用《企业会计准则第22号——金融工具确认和计量》。未执行新准则企业将短期投资及长期债权投资划分至可供出售金融资产所对应的减值准备填列至该行。</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7.持有至到期投资减值准备:用于未执行新金融工具准则的企业使用，反映企业计提的持有至到期投资减值准备。未执行新准则企业将短期投资及长期债权投资划分至可供出售金融资产所对应的减值准备填列至该行。</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8.长期股权投资减值准备:反映企业按照可收回金额低于账面价值的差额计提的长期股权投资减值准备。</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9.投资性房地产减值准备:投资性房地产分为采用成本模式计量和采用公允价值模式计量，投资性房地产减值准备科目是采用成本模式计量的后续计量，适用《企业会计准则第8号——资产减值》的规定。</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10.固定资产减值准备:反映企业按照可收回金额低于账面价值的差额提取的固定资产减值准备。</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11.在建工程减值准备:根据《企业会计准则第15号——建造合同》等规定计提的资产减值准备。</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12.生产性生物资产减值准备:反映企业执行《企业会计准则第5号——生物资产》和《企业会计准则第8号——资产减值》准则，根据生产性生物资产的可收回金额低于账面价值的差额提取的资产减值准备。</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13.油气资产减值准备:反映企业执行《企业会计准则第27号</w:t>
      </w:r>
      <w:r>
        <w:rPr>
          <w:rFonts w:ascii="仿宋_GB2312" w:hAnsi="仿宋_GB2312" w:cs="仿宋_GB2312" w:hint="eastAsia"/>
          <w:bCs/>
          <w:szCs w:val="32"/>
        </w:rPr>
        <w:lastRenderedPageBreak/>
        <w:t>——石油天然气开采》和《企业会计准则第8号——资产减值》等准则，按照可收回金额低于账面价值的差额提取的油气资产减值损失。</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14.☆使用权资产减值准备：反映企业执行《企业会计准则第21号——租赁》准则，根据使用权资产的可收回金额低于账面价值的差额提取的资产减值准备。</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15.无形资产减值准备:反映企业按照可收回金额低于账面价值的差额计提的无形资产减值准备。</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16.商誉减值准备:反映企业执行《企业会计准则第20号——企业合并》和《企业会计准则第8号——资产减值》等准则，根据购买方企业合并成本大于合并中取得的被购买方可辨认资产公允价值的部分作为商誉确认，于每一个会计年度进行测试，商誉发生减值的，计入商誉减值准备。</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17.☆合同取得成本减值准备:用于已执行新收入准则的企业使用，反映企业执行《企业会计准则第14号——收入》、《企业会计准则第8号——资产减值》准则，与合同成本有关的资产，其账面价值高于企业因转让与该资产相关的商品预期能够取得的剩余对价和为转让该相关商品估计将要发生的成本两项的差额的，超出部分应当计提减值准备，并确认为资产减值损失。</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18.☆合同履约成本减值准备:用于已执行新收入准则的企业使用，反映企业执行《企业会计准则第14号——收入》、《企业会计准则第8号——资产减值》准则，与合同成本有关的资产，</w:t>
      </w:r>
      <w:r>
        <w:rPr>
          <w:rFonts w:ascii="仿宋_GB2312" w:hAnsi="仿宋_GB2312" w:cs="仿宋_GB2312" w:hint="eastAsia"/>
          <w:bCs/>
          <w:szCs w:val="32"/>
        </w:rPr>
        <w:lastRenderedPageBreak/>
        <w:t>其账面价值高于企业因转让与该资产相关的商品预期能够取得的剩余对价和为转让该相关商品估计将要发生的成本两项的差额的，超出部分应当计提减值准备，并确认为资产减值损失。</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19.其他减值准备:反映企业其他减值准备。未执行企业会计准则的企业核算的短期投资减值准备及长期债权投资减值准备扣除划分至可供出售金融资产减值准备及持有至到期投资减值准备后的余额填列至该行反映。金融企业计提的“贷款减值准备”填列此处。</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20.合并增加额、合并减少额:反映企业（集团）因合并范围变化而增加或减少的减值准备金额。执行新会计准则的企业，因同一控制下企业合并增加的子公司，应调整合并期初数，不在本项目下反映。</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21.资产价值回升转回额:反映企业在以前会计期间计提的减值准备，在本期期末因资产价值回升而转回的金额。</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22.转销额:反映企业在以前会计期间计提的减值准备，在本期因资产处置、核销等因素，转销的减值准备金额。</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23.在当年损益中处理以前年度损失挂账:反映企业按财务会计制度规定当年消化处理2000年（企业会计制度颁布时间）以前发生且未处理的各类损失，包括无法收回的应收款项、积压存货、应提未提和应摊未摊费用，以及历史遗留问题挂账等。该项目须经中介机构逐户、分明细项审计确认，并在审计报告中加以详细披露或作专项审计说明。</w:t>
      </w:r>
    </w:p>
    <w:p w:rsidR="00ED5D0A" w:rsidRDefault="00ED5D0A">
      <w:pPr>
        <w:pStyle w:val="30"/>
        <w:spacing w:line="580" w:lineRule="exact"/>
        <w:ind w:firstLine="643"/>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lastRenderedPageBreak/>
        <w:t>（四）表内、表间关系</w:t>
      </w:r>
    </w:p>
    <w:p w:rsidR="00ED5D0A" w:rsidRDefault="00ED5D0A">
      <w:pPr>
        <w:ind w:firstLineChars="200" w:firstLine="640"/>
        <w:rPr>
          <w:rFonts w:ascii="仿宋_GB2312" w:hAnsi="仿宋_GB2312" w:cs="仿宋_GB2312" w:hint="eastAsia"/>
          <w:szCs w:val="32"/>
        </w:rPr>
      </w:pPr>
      <w:r>
        <w:rPr>
          <w:rFonts w:ascii="仿宋_GB2312" w:hAnsi="仿宋_GB2312" w:cs="仿宋_GB2312" w:hint="eastAsia"/>
          <w:bCs/>
          <w:szCs w:val="32"/>
        </w:rPr>
        <w:t>详见决算报表任务格式。</w:t>
      </w:r>
    </w:p>
    <w:p w:rsidR="00ED5D0A" w:rsidRDefault="00ED5D0A">
      <w:pPr>
        <w:ind w:firstLineChars="200" w:firstLine="640"/>
        <w:rPr>
          <w:rFonts w:ascii="黑体" w:eastAsia="黑体" w:hAnsi="黑体" w:cs="黑体" w:hint="eastAsia"/>
          <w:szCs w:val="32"/>
        </w:rPr>
      </w:pPr>
      <w:r>
        <w:rPr>
          <w:rFonts w:ascii="黑体" w:eastAsia="黑体" w:hAnsi="黑体" w:cs="黑体" w:hint="eastAsia"/>
          <w:szCs w:val="32"/>
        </w:rPr>
        <w:t>六、应上交应弥补款项表</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本表反映企业各项税金、保险等款项的负担和上交情况。本表除第33行外只反映由企业承担和上交的中国境内的部分，不包括企业代扣代缴的应由个人承担部分。</w:t>
      </w:r>
    </w:p>
    <w:p w:rsidR="00ED5D0A" w:rsidRDefault="00ED5D0A">
      <w:pPr>
        <w:pStyle w:val="30"/>
        <w:spacing w:line="580" w:lineRule="exact"/>
        <w:ind w:firstLine="643"/>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（一）编制方法</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本表应根据企业当年基础会计资料及其他有关资料填列。企业填报时应注意与财政、税务等部门批准、认可的有关数据衔接一致。</w:t>
      </w:r>
    </w:p>
    <w:p w:rsidR="00ED5D0A" w:rsidRDefault="00ED5D0A">
      <w:pPr>
        <w:pStyle w:val="30"/>
        <w:spacing w:line="580" w:lineRule="exact"/>
        <w:ind w:firstLine="643"/>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（二）表内有关指标解释</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1.石油特别收益金:反映根据《财政部关于印发&lt;石油特别收益金征收管理办法》的通知&gt;（财企〔2006〕72号）规定，由在中华人民共和国陆地领域和所辖海域独立开采并销售原油的企业缴纳的石油特别收益金。</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2.其他税费:反映除表中所列各项税费外，企业应交纳的城镇土地使用税、土地增值税、契税、印花税、土地使用税、房产税、车船税等所有其他各项税费的交纳情况。地方教育费附加应填列在“教育费附加”项目中，不在本项目反映。进口增值税应填列在“增值税”项目中，不在本项目反映。</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3.基本养老保险、基本医疗保险、失业保险、工伤保险、生育保险、住房公积金:指企业按国家规定缴纳的五险一金情况，</w:t>
      </w:r>
      <w:r>
        <w:rPr>
          <w:rFonts w:ascii="仿宋_GB2312" w:eastAsia="仿宋_GB2312" w:hAnsi="仿宋_GB2312" w:cs="仿宋_GB2312" w:hint="eastAsia"/>
          <w:bCs/>
          <w:sz w:val="32"/>
          <w:szCs w:val="32"/>
        </w:rPr>
        <w:lastRenderedPageBreak/>
        <w:t>只反映由企业承担的部分。</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4.国有资本收益:反映根据财政部门有关国有资本收益收缴管理办法等规定，本年应交和本年已交各级财政的国有资本收益。本项目仅由企业集团本部填列，不包含国有及国有控股企业对其企业投资者的红利。</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5.本年应交税费总额:反映企业本年应交的增值税、消费税、资源税、城建税、农牧业税、关税、企业所得税、教育费附加、石油特别收益金及其他税费的合计总额。</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6.本年实际上交税费总额:反映企业本年实际上交的增值税、消费税、资源税、城建税、农牧业税、关税、企业所得税、教育费附加、石油特别收益金及其他税费的合计总额。</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7.本年实际支付补充养老保险（含年金）总额:反映企业本年按照《财政部关于企业为职工购买保险有关财务处理问题的通知》（财企〔2003〕61号）、《企业财务通则》（财政部令第41号）、《财政部关于企业新旧财务制度衔接有关问题的通知》（财企〔2008〕34号）的有关规定实际支付的补充养老保险金额，只反映由企业承担的部分。</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8.本年实际支付补充医疗保险总额:反映企业本年按照《财政部关于企业为职工购买保险有关财务处理问题的通知》（财企〔2003〕61号）、《企业财务通则》（财政部令第41号）的有关规定实际支付的补充医疗保险金额，只反映由企业承担的部分。</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9.出口退税情况:由外贸公司或有出口经营权的企业填列，包</w:t>
      </w:r>
      <w:r>
        <w:rPr>
          <w:rFonts w:ascii="仿宋_GB2312" w:eastAsia="仿宋_GB2312" w:hAnsi="仿宋_GB2312" w:cs="仿宋_GB2312" w:hint="eastAsia"/>
          <w:bCs/>
          <w:sz w:val="32"/>
          <w:szCs w:val="32"/>
        </w:rPr>
        <w:lastRenderedPageBreak/>
        <w:t>括未设置“应收出口退税”科目核算的工业生产企业、外商投资企业、委托代理出口企业、外轮供应企业等按要求填列相关指标。</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（1）出口额（美元）:反映本年度企业出口产品（商品）收入额（含自营出口和代理出口）按加权平均汇率折算为美元的金额，本项目填列数应与海关报关数保持一致。</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（2）以前年度欠出口退税:反映企业以前年度应退未退的出口退税，按上年末“应收出口退税”借方余额填列。</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（3）本年度应收出口退税:企业按“应收出口退税”科目本期借方发生额合计填列。</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（4）本年度已收出口退税:反映企业本期实际已收到的出口退税额，按“应收出口退税”本期贷方发生额合计填列。</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10.本年实际缴纳境外税费总额:反映企业在境外缴纳的税费总额。</w:t>
      </w:r>
    </w:p>
    <w:p w:rsidR="00ED5D0A" w:rsidRDefault="00ED5D0A">
      <w:pPr>
        <w:pStyle w:val="30"/>
        <w:spacing w:line="580" w:lineRule="exact"/>
        <w:ind w:firstLine="643"/>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（三）表内、表间关系</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详见决算报表任务格式。</w:t>
      </w:r>
    </w:p>
    <w:p w:rsidR="00ED5D0A" w:rsidRDefault="00ED5D0A">
      <w:pPr>
        <w:ind w:firstLineChars="200" w:firstLine="640"/>
        <w:rPr>
          <w:rFonts w:ascii="黑体" w:eastAsia="黑体" w:hAnsi="黑体" w:cs="黑体" w:hint="eastAsia"/>
          <w:szCs w:val="32"/>
        </w:rPr>
      </w:pPr>
      <w:r>
        <w:rPr>
          <w:rFonts w:ascii="黑体" w:eastAsia="黑体" w:hAnsi="黑体" w:cs="黑体" w:hint="eastAsia"/>
          <w:szCs w:val="32"/>
        </w:rPr>
        <w:t>七、国有企业基本情况表</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本表主要反映企业的本年收到的财政性资金、高质量发展、产值、投资收益、固定资产投资、环境保护及生态恢复支出、境外投资、扶贫及捐赠等情况。</w:t>
      </w:r>
    </w:p>
    <w:p w:rsidR="00ED5D0A" w:rsidRDefault="00ED5D0A">
      <w:pPr>
        <w:pStyle w:val="30"/>
        <w:spacing w:line="580" w:lineRule="exact"/>
        <w:ind w:firstLine="643"/>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（一）编制方法</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本表应根据企业本年基础会计资料及其他相关资料分析填列。</w:t>
      </w:r>
    </w:p>
    <w:p w:rsidR="00ED5D0A" w:rsidRDefault="00ED5D0A">
      <w:pPr>
        <w:pStyle w:val="30"/>
        <w:spacing w:line="580" w:lineRule="exact"/>
        <w:ind w:firstLine="643"/>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lastRenderedPageBreak/>
        <w:t>（二）表内有关指标解释</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本年收到的财政性资金:反映企业本年收到的各项财政性资金，按性质划分，主要包括基本建设性资金、生产发展性资金、社会保障性资金和其他资金。企业收到的财政部门以外的其他部门、机构转拨的财政性质资金也应当在本项目中反映。</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基本建设性资金:反映企业收到的按规定用于基本建设的各项财政资金，包括基建有偿使用支出、基建拨款支出、国家资本金、基建贷款贴息支出、国债专项基建拨款和其他基建支出等。</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生产发展性资金:反映企业收到的由国家预算拨款用于企业挖潜、革新和改造方面的资金和反映新产品试制费、中间试验费、重要科学研究补助费等科学技术费用以及支持企业各项事业发展的专项资金。</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社会保障性资金:反映企业收到的用于下岗补助、救济等社会保障性支出的财政资金。</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其他:反映企业收到的其他政策性补贴、税收返还等其他财政性资金。</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2.高质量发展有关情况:</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（1）专利情况：</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累计拥有有效专利数：截至报告期末处于专利权维持状态的专利数量，包括发明专利、实用新型专利和外观设计专利。</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（2）本年科技资金来源与支出情况:</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①本年科技资金来源合计按来源分为政府拨款、企业自筹和</w:t>
      </w:r>
      <w:r>
        <w:rPr>
          <w:rFonts w:ascii="仿宋_GB2312" w:eastAsia="仿宋_GB2312" w:hAnsi="仿宋_GB2312" w:cs="仿宋_GB2312" w:hint="eastAsia"/>
          <w:bCs/>
          <w:sz w:val="32"/>
          <w:szCs w:val="32"/>
        </w:rPr>
        <w:lastRenderedPageBreak/>
        <w:t>其他。</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政府拨款:反映政府有关部门本年对本企业拨款到账的资金总额。</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企业自筹:反映本企业用于科技的自有资金、借入资金总额。</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②本年科技支出合计:反映企业开展科学研究与试验发展、科学研究与试验发展成果应用、科技教育与培训及相关科技服务等全部科技活动的支出情况。</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研究开发支出:反映企业在产品、技术、材料、工艺、标准的研究、开发过程中发生的各项费用，包括:研发活动直接消耗的材料、燃料和动力费用；企业在职研发人员的工资、奖金、津贴、补贴、社会保险费、住房公积金等人工费用以及外聘兼职研发人员的劳务费；用于研发活动的仪器、设备、房屋等固定资产的租赁、运行维护、维修等费用；用于中间试验和产品试制的模具、工艺装备开发及制造费，设备调整及检验费，样品、样机及一般测试手段购置费，试制产品的检验费等；研发成果的论证、评审、验收、评估以及知识产权的申请费、注册费、代理费等费用；通过外包、合作研发等方式，委托其他单位、个人或者与之合作进行研发而支付的费用；与研发活动直接相关的其他费用，包括技术图书资料费，资料翻译费，会议费，差旅费，办公费，外事费，研发人员培训费，培养费，专家咨询费，高新科技研发保险费用等。本年研究开发支出不包含用于企业研发活动的固定资产的折旧和无形资产的摊销。执行《企业会计准则》的企业，</w:t>
      </w:r>
      <w:r>
        <w:rPr>
          <w:rFonts w:ascii="仿宋_GB2312" w:eastAsia="仿宋_GB2312" w:hAnsi="仿宋_GB2312" w:cs="仿宋_GB2312" w:hint="eastAsia"/>
          <w:bCs/>
          <w:sz w:val="32"/>
          <w:szCs w:val="32"/>
        </w:rPr>
        <w:lastRenderedPageBreak/>
        <w:t>本年研究开发支出应当等于“研发支出”科目本年归集核算的借方发生额扣除固定资产折旧和无形资产摊销；以前年度由“研发支出”或“开发支出”转出形成的无形资产，其本年摊销费用不计入本年的“研发支出”科目。</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研发人员人工支出:反映企业在职研发人员的工资、奖金、津贴、补贴、社会保险费、住房公积金等人工费用以及外聘兼职研发人员的劳务费。</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研发性固定资产维护费用支出:反映用于研发活动的仪器、设备、房屋等固定资产的租赁、运行维护、维修等费用，不含折旧。</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购买新技术、科研设备等支出:反映企业本年购置用于研发活动的软件、专利权、非专利技术等无形资产和仪器、设备、房屋等固定资产的实际支出。</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其他科技支出:反映企业除本年研究开发费用及购买新技术、科研设备等支出之外的其他各项科技支出，如知识产权维护费、诉讼费、代理费、“打假”、非研发人员的科技教育与培训等费用支出。</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（3）科技人员:反映直接从事科技活动以及专门从事科技活动管理和为科技活动提供直接服务，累计从事科技活动的实际工作时间占全年制度工作时间10%及以上的人员。</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研发人员:反映参与研究与试验发展项目研究、管理和辅助工作的人员，包括项目（课题）组人员、企业科技行政管理人员</w:t>
      </w:r>
      <w:r>
        <w:rPr>
          <w:rFonts w:ascii="仿宋_GB2312" w:eastAsia="仿宋_GB2312" w:hAnsi="仿宋_GB2312" w:cs="仿宋_GB2312" w:hint="eastAsia"/>
          <w:bCs/>
          <w:sz w:val="32"/>
          <w:szCs w:val="32"/>
        </w:rPr>
        <w:lastRenderedPageBreak/>
        <w:t>和直接为项目（课题）活动提供服务的辅助人员。</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3.产值（按现行价格计算）:</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（1）工业总产值:按报告期内实际销售价格计算的工业产品总量。仅由工业企业填列。</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（2）劳动生产总值:指各种生产活动所创造的新增价值，是企业总产出与中间投入之差。增加值为劳动者报酬、固定资产折旧、生产税净额和营业盈余四个部分之和。各部分与会计指标的基本对应关系如下:</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劳动者报酬:指劳动者为企业提供服务获得的全部报酬。主要包括本年在成本费用中列支的工资（薪金）所得、职工福利费、社会保险费、公益金以及其他各种费用中含有和列支的个人报酬部分。</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固定资产折旧:指企业本年提取的固定资产折旧。</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生产税净额:指国家对企业生产、销售产品和从事生产经营活动所征收的各种税金、附加和规费扣除生产补贴后的净额。各种税费主要有:本年应交的增值税、主营业务（产品销售）税金及附加以及在管理费用中列支的税费等。扣除内容主要有:国家财政对企业的政策性亏损补贴、价格补贴和外贸企业的出口退税等生产补贴。</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营业盈余:指企业本年的营业利润加补贴，主要包括:企业营业利润、补贴收入等。</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4.投资收益:反映企业确认的投资收益或投资损失。指企业长</w:t>
      </w:r>
      <w:r>
        <w:rPr>
          <w:rFonts w:ascii="仿宋_GB2312" w:eastAsia="仿宋_GB2312" w:hAnsi="仿宋_GB2312" w:cs="仿宋_GB2312" w:hint="eastAsia"/>
          <w:bCs/>
          <w:sz w:val="32"/>
          <w:szCs w:val="32"/>
        </w:rPr>
        <w:lastRenderedPageBreak/>
        <w:t>期股权投资、交易性金融资产、以公允价值计量且其变动计入当期损益的金融资产或金融负债、债权投资、可供出售金融资产、其他债权投资、持有至到期投资、其他权益工具投资、其他非流动金融资产、其他项目收益等在持有期间取得的投资收益；以及长期股权投资、交易性金融资产、以公允价值计量且其变动计入当期损益的金融资产或金融负债、债权投资、可供出售金融资产、其他债权投资、持有至到期投资、其他权益工具投资、其他非流动金融资产、其他项目收益等在处置时实现的损益。项目填报按照相关科目的会计规定分析填列。未执行新准则的企业按照投资持有和处置的性质分析填列。</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5.本年管理费用项下的党建工作经费:反映企业按照《中共中央组织部 财政部 国务院国资委党委 国家税务总局关于国有企业党组织工作经费问题的通知》（组通字〔2017〕38号）要求，按照上年度职工工资总额的一定比例安排，纳入企业管理费用税前列支的党建工作经费。</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6.本年企业支付的环境保护及生态恢复支出:反映企业履行保护环境义务及生态恢复所发生的支出，具体包括:生产过程直接降低环境负荷的成本、生产过程间接降低环境负荷的成本、销售及回收过程降低环境负荷的成本、企业环保系统的研究开发成本、企业配合社会地域的环保支援成本、由于企业活动而造成对土壤污染、自然破坏的修复成本及公害诉讼赔偿金、罚金等方面的支出。其中，本年度上交政府统筹的支出，反映企业按规定上</w:t>
      </w:r>
      <w:r>
        <w:rPr>
          <w:rFonts w:ascii="仿宋_GB2312" w:eastAsia="仿宋_GB2312" w:hAnsi="仿宋_GB2312" w:cs="仿宋_GB2312" w:hint="eastAsia"/>
          <w:bCs/>
          <w:sz w:val="32"/>
          <w:szCs w:val="32"/>
        </w:rPr>
        <w:lastRenderedPageBreak/>
        <w:t>缴的可持续发展基金、提取的生态环境治理保证金以及其他直接列支的环境治理与生态恢复支出；本年度企业提取或据实列支的支出，反映已提取但实际未完全支出的，以提取统计。</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本年企业支出的节能减排费用:反映企业用于节约能源，减少废水、废气、废渣等排放的全部支出。</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7.企业累计向境外投资额:反映企业期末累计向境外的投资金额，但应剔除返还境内投资部分。其中，企业本年新增向境外投资额单独列示。</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境外投资指投资主体通过投入货币、有价证券、实物、知识产权或技术、股权、债权等资产和权益或提供担保，获得境外所有权、经营管理权及其他相关权益的活动。</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8.本年对扶贫方面的支出:指本企业直接或间接（包括向扶贫类基金注资）用于国家扶贫开发工作重点县和集中连片特殊困难县产业扶持、基础设施建设、建档立卡贫困村和贫困人口帮扶等方面的支出。</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9.本年对外捐赠支出总额（不含上述“本年对扶贫方面的支出”中救济性、公益性及其他社会公共福利事业等）:反映本年发生的救济性、公益性及其他社会公共福利事业等捐赠支出总额。</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10.社会贡献总额:反映企业工资、劳保退休统筹、其他社会福利支出、利息支出、应交增值税、应交销售税金及附加、应交所得税、关税、其他税收、净利润和企业对外捐赠等。各部分与</w:t>
      </w:r>
      <w:r>
        <w:rPr>
          <w:rFonts w:ascii="仿宋_GB2312" w:eastAsia="仿宋_GB2312" w:hAnsi="仿宋_GB2312" w:cs="仿宋_GB2312" w:hint="eastAsia"/>
          <w:bCs/>
          <w:sz w:val="32"/>
          <w:szCs w:val="32"/>
        </w:rPr>
        <w:lastRenderedPageBreak/>
        <w:t>会计指标的基本对应关系如下:</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工资:反映企业本年度应发放的从业人员人工成本支出总额。</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劳保退休统筹:反映企业在管理费用中列支的劳动保险费和失业保险费。</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劳动保险费:反映企业离退休人员的养老金、价格补贴、离退休人员的医疗保险和工伤保险、职工退职金、6个月以上病假人员工资、职工死亡丧葬补助费、抚恤金、按规定支付给离退休干部的各项经费。</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其他社会福利支出:反映企业的福利费、职工教育经费、工会经费、公益性捐赠等，但不包括盈余公积金中公益金部分。</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利息支出:反映企业本年全部利息支出金额，含利息费用化和资本化金额。</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关税:反映企业在经营进出口业务中交纳和代为交纳的关税。</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其他税收:反映企业本年列支的印花税、土地使用税、车船牌照使用税和房产税以及其他新增税种等。</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对外捐赠:反映本年发生的救济性、公益性及其他社会公共福利事业等捐赠支出总额。</w:t>
      </w:r>
    </w:p>
    <w:p w:rsidR="00ED5D0A" w:rsidRDefault="00ED5D0A">
      <w:pPr>
        <w:pStyle w:val="30"/>
        <w:spacing w:line="580" w:lineRule="exact"/>
        <w:ind w:firstLine="643"/>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（三）表内、表间关系</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详见决算报表任务格式。</w:t>
      </w:r>
    </w:p>
    <w:p w:rsidR="00ED5D0A" w:rsidRDefault="00ED5D0A">
      <w:pPr>
        <w:ind w:firstLineChars="200" w:firstLine="640"/>
        <w:rPr>
          <w:rFonts w:ascii="黑体" w:eastAsia="黑体" w:hAnsi="黑体" w:cs="黑体" w:hint="eastAsia"/>
          <w:szCs w:val="32"/>
        </w:rPr>
      </w:pPr>
      <w:r>
        <w:rPr>
          <w:rFonts w:ascii="黑体" w:eastAsia="黑体" w:hAnsi="黑体" w:cs="黑体" w:hint="eastAsia"/>
          <w:szCs w:val="32"/>
        </w:rPr>
        <w:t>八、国有企业人力资源情况表</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lastRenderedPageBreak/>
        <w:t>本表主要反映企业的职工、工资及福利情况。</w:t>
      </w:r>
    </w:p>
    <w:p w:rsidR="00ED5D0A" w:rsidRDefault="00ED5D0A">
      <w:pPr>
        <w:pStyle w:val="30"/>
        <w:spacing w:line="580" w:lineRule="exact"/>
        <w:ind w:firstLine="643"/>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（一）编制方法</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本表应根据企业本年基础会计资料及其他相关资料分析填列。本表涉及职工人数情况填列的，应按照人员与工资相匹配、“人随工资走”原则填列。</w:t>
      </w:r>
    </w:p>
    <w:p w:rsidR="00ED5D0A" w:rsidRDefault="00ED5D0A">
      <w:pPr>
        <w:pStyle w:val="30"/>
        <w:spacing w:line="580" w:lineRule="exact"/>
        <w:ind w:firstLine="643"/>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（二）表内有关指标解释</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1.企业人数情况（人）:</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（1）年末从业人员人数:反映年末在本企业实际从事生产经营活动的全部人员。包括:在岗的职工（合同制职工）、临时工及</w:t>
      </w:r>
      <w:r>
        <w:rPr>
          <w:rFonts w:ascii="仿宋_GB2312" w:eastAsia="仿宋_GB2312" w:hAnsi="仿宋_GB2312" w:cs="仿宋_GB2312" w:hint="eastAsia"/>
          <w:bCs/>
          <w:spacing w:val="-7"/>
          <w:sz w:val="32"/>
          <w:szCs w:val="32"/>
        </w:rPr>
        <w:t>其他聘用、留用的人员，以及与法人单位签订劳务派遣合同的人员。</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（2）本年平均从业人员人数:反映企业本年12个月从业人员人数的算术平均值。</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（3）年末职工人数:反映企业年末人事关系或工资关系在本单位的固定职工及劳动合同制职工，不包括离休、退休人员等，但包含内退下岗人员。企业“年末在岗职工人数”单独列示。</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（4）本年平均职工人数:反映企业本年12个月职工人数的算术平均值。企业“本年平均在岗职工人数”单独列示。</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（5）年末劳务派遣人数:反映年末企业已履行劳务派遣合同实际提供就业人员（该类就业人员的劳动合同由劳务承包单位与其签订，并由承包单位负责发放工资、办理社会保险等事宜）的人数。</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（6）本年平均劳务派遣人数:反映企业本年已履行劳务派遣</w:t>
      </w:r>
      <w:r>
        <w:rPr>
          <w:rFonts w:ascii="仿宋_GB2312" w:eastAsia="仿宋_GB2312" w:hAnsi="仿宋_GB2312" w:cs="仿宋_GB2312" w:hint="eastAsia"/>
          <w:bCs/>
          <w:sz w:val="32"/>
          <w:szCs w:val="32"/>
        </w:rPr>
        <w:lastRenderedPageBreak/>
        <w:t>合同全年实际提供就业人次（1人工作1天为1个就业人次）除以年制度工作日数（250天）计算填列</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（7）年末离休人数:反映企业年末已办理离休手续的职工人数。</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（8）年末退休人数:反映企业年末已办理退休手续的职工人数。</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（9）实行工效挂钩职工人数:反映企业享受工效挂钩工资的职工人数。</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10）未实行社会化管理的离退休人员人数:根据中共中央办公厅、国务院办公厅转发的《关于积极推进企业退休人员社会化管理服务工作的意见》，企业退休人员社会化管理服务是指职工办理退休手续后，采取管理服务工作与原企业分离，养老金实行社会化发放，人员移交城市街道和社区实行属地管理，由社区服务组织提供相应管理服务。不符合上述要求的离退休人员应纳入此项统计。</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11）年末党员人数:反映企业年末已加入中国共产党的职工人数。其中，离退休干部职工党员组织关系转到居住地社区党组织的，不反映在年末党员人数中；将党员组织关系保留在原单位的离退休干部职工，反映在年末党员人数中。</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2.企业不在岗职工及劳动关系处理情况:</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（1）年初不在岗职工人数（人）:反映年初档案关系在本企业或与企业签订劳动合同关系尚未到期的人员实际不在岗人数。</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lastRenderedPageBreak/>
        <w:t>（2）年末不在岗职工人数（人）:反映年末档案关系在本企业或与企业签订劳动合同关系尚未到期的人员实际不在岗人数。</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（3）本年累计解除劳动关系人数:反映企业当年与职工解除劳动关系人数。其中:“需支付经济补偿人数”单独列示，反映</w:t>
      </w:r>
      <w:r>
        <w:rPr>
          <w:rFonts w:ascii="仿宋_GB2312" w:eastAsia="仿宋_GB2312" w:hAnsi="仿宋_GB2312" w:cs="仿宋_GB2312" w:hint="eastAsia"/>
          <w:bCs/>
          <w:spacing w:val="-7"/>
          <w:sz w:val="32"/>
          <w:szCs w:val="32"/>
        </w:rPr>
        <w:t>按照《中华人民共和国劳动合同法》等规定需支付经济补偿的人数。</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（4）本年累计支付经济补偿金额:反映企业按规定与职工解除劳动关系所支付经济补偿金额，其中财政负担部分单列。</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3.工资及福利情况:</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（1）本年应发职工薪酬总额:反映企业本年实际承担的为接受职工提供的服务或解除劳动关系而给予的各种形式的报酬或补偿，根据“应付职工薪酬”科目及其他相关科目的本年发生额分析填列。</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（2）本年实际发放职工薪酬总额:反映企业本年度实际发放的为接受职工提供的服务或解除劳动关系而给予的各种形式的报酬或补偿。其中“本年实际发放职工工资总额”“本年支付的劳务派遣金额”单独填列。</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（3）本年支付的劳务派遣金额:反映企业为将有关工作（如服务性工作）以劳务形式整体外包给其他单位或个人签订的劳务派遣合同中本年实际履行的合同金额。</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（4）离退休人员养老金及福利性补助:反映企业本年度实际发放的离退休人员养老金及各项补助，不包括离退休人员通过社会保险经办机构领取的基本养老金以及企业支付给离退休人员</w:t>
      </w:r>
      <w:r>
        <w:rPr>
          <w:rFonts w:ascii="仿宋_GB2312" w:eastAsia="仿宋_GB2312" w:hAnsi="仿宋_GB2312" w:cs="仿宋_GB2312" w:hint="eastAsia"/>
          <w:bCs/>
          <w:sz w:val="32"/>
          <w:szCs w:val="32"/>
        </w:rPr>
        <w:lastRenderedPageBreak/>
        <w:t>的医药费。</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5）企业负责人薪酬总额:按照企业负责人本年实际收到的薪酬总额填列。企业负责人薪酬主要由基本年薪、绩效年薪、本年兑现的中长期激励收益组成，按照本年实际发放数填报。本年实际发放数应包括本年的基本年薪、上年度绩效年薪本期兑现部分、本年兑现的上一任期绩效年薪延期兑现部分。基本年薪是指企业负责人年度基本收入，绩效年薪是指与企业负责人本年经营业绩考核结果相联系的收入，本年兑现的中长期激励收益是指根据经薪酬审核部门批准的股权激励计划，负责人行权或兑现取得的收益。未实行年薪制的企业，负责人薪酬主要由工资、奖金、津贴、补贴组成。负责人本年取得的其他货币收入，一并填报。</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6）企业负责人人数:按照企业本年的负责人人数填列。企业负责人是指企业的董事长、党委书记（党组书记）、总经理（总裁）、监事长以及其他企业领导班子成员（包括副董事长、党委副书记、副总经理、总会计师、总经济师、执行董事等）。本项目不包括在企业兼职不兼酬的企业负责人人数。合并报表按汇总口径填列。</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（7）本年支付的职工福利费:反映企业本年度实际支付的职工福利费总额，含离退休统筹外费用。</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（8）本年提取的职工教育培训经费:反映企业在本年度按规定比例提取的专项用于职工教育和培训的费用。</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（9）本年支付的职工教育培训经费:反映企业在本年度对本</w:t>
      </w:r>
      <w:r>
        <w:rPr>
          <w:rFonts w:ascii="仿宋_GB2312" w:eastAsia="仿宋_GB2312" w:hAnsi="仿宋_GB2312" w:cs="仿宋_GB2312" w:hint="eastAsia"/>
          <w:bCs/>
          <w:sz w:val="32"/>
          <w:szCs w:val="32"/>
        </w:rPr>
        <w:lastRenderedPageBreak/>
        <w:t>单位职工教育和培训方面实际发生的全部支出。</w:t>
      </w:r>
    </w:p>
    <w:p w:rsidR="00ED5D0A" w:rsidRDefault="00ED5D0A">
      <w:pPr>
        <w:pStyle w:val="30"/>
        <w:spacing w:line="580" w:lineRule="exact"/>
        <w:ind w:firstLine="643"/>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（三）表内、表间关系</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详见决算报表任务格式。</w:t>
      </w:r>
    </w:p>
    <w:p w:rsidR="00ED5D0A" w:rsidRDefault="00ED5D0A">
      <w:pPr>
        <w:ind w:firstLineChars="200" w:firstLine="640"/>
        <w:rPr>
          <w:rFonts w:ascii="黑体" w:eastAsia="黑体" w:hAnsi="黑体" w:cs="黑体" w:hint="eastAsia"/>
          <w:szCs w:val="32"/>
        </w:rPr>
      </w:pPr>
      <w:r>
        <w:rPr>
          <w:rFonts w:ascii="黑体" w:eastAsia="黑体" w:hAnsi="黑体" w:cs="黑体" w:hint="eastAsia"/>
          <w:szCs w:val="32"/>
        </w:rPr>
        <w:t>九、带息负债情况表</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本表主要反映企业各项带息负债本金、利息、逾期本金以及累计欠息情况。补充资料反映企业的带息负债成本情况、永续债和优先股发行情况以及境外发债情况。</w:t>
      </w:r>
    </w:p>
    <w:p w:rsidR="00ED5D0A" w:rsidRDefault="00ED5D0A">
      <w:pPr>
        <w:pStyle w:val="30"/>
        <w:spacing w:line="580" w:lineRule="exact"/>
        <w:ind w:firstLine="643"/>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（一）编制方法</w:t>
      </w:r>
    </w:p>
    <w:p w:rsidR="00ED5D0A" w:rsidRDefault="00ED5D0A">
      <w:pPr>
        <w:pStyle w:val="a9"/>
        <w:spacing w:line="58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企业应根据资产负债表中的“短期借款”“☆交易性金融负债”“以公允价值计量且其变动计入当期损益的金融负债”“一年内到期的非流动负债”“其他流动负债”“长期借款”“应付债券”“租赁负债”“长期应付款”“其他非流动负债”等科目分析填列，识别出其中带息负债的金额。企业持有的外币带息负债，</w:t>
      </w:r>
      <w:r>
        <w:rPr>
          <w:rFonts w:ascii="仿宋_GB2312" w:eastAsia="仿宋_GB2312" w:hAnsi="仿宋_GB2312" w:cs="仿宋_GB2312" w:hint="eastAsia"/>
          <w:bCs/>
          <w:spacing w:val="-7"/>
          <w:sz w:val="32"/>
          <w:szCs w:val="32"/>
        </w:rPr>
        <w:t>应按照外币折人民币的金额填列，外币折人民币时应以12月31日中国人民银行公布的人民币与相应币种汇率的中间价折算。编制说明中未作解释的内容以企业目前所执行的会计核算制度为依据。</w:t>
      </w:r>
    </w:p>
    <w:p w:rsidR="00ED5D0A" w:rsidRDefault="00ED5D0A">
      <w:pPr>
        <w:pStyle w:val="30"/>
        <w:spacing w:line="580" w:lineRule="exact"/>
        <w:ind w:firstLine="643"/>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（二）表内有关指标解释</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1.本年应计利息:反映相关带息负债本年度应计提的利息。</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2.逾期尚未偿还的借款本金:反映企业期末尚未偿还的带息负债逾期本金。</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3.年末应付利息:反映本年累计应付未付的相关带息负债的利息。</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lastRenderedPageBreak/>
        <w:t>4.短期融资券:反映企业在银行间债券市场发行和交易的在一年期限内还本付息的有价证券。</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5.超短期融资券:反映企业在银行间债券市场发行的，期限在270天以内的短期融资券。</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6.应付债券:反映剩余期限一年以上的各类债券，包含归类为金融负债的永续债、优先股。</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7.中期票据、企业债券、公司债券:分别反映剩余期限一年以上的各类债券。</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8.融资租赁款:反映企业通过融资租赁的方式对外筹资的情况。本金根据“长期应付款”与“未确认筹资费用”的差异填列。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9.☆租赁负债：反映资产负债表日承租人企业尚未支付的租赁付款额的期末账面价值。该项目应根据“租赁负债”科目的期末余额填列。自资产负债表日起一年内到期应予以清偿的租赁负债的期末账面价值，在“一年内到期的非流动负债”项目反映。</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10.利息支出总额:反映企业当年全部利息支出金额，包括利息费用化和资本化金额，包括计入负债的永续债利息、优先股股利。</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11.利息资本化金额:反映企业本年度符合资本化确认条件并计入相关资产成本的全部借款利息。</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12.带息负债融资成本率:反映企业当年带息负债平均资本成本，由利息支出总额除以平均带息负债余额（按月平均）计算。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13.已发行永续债、优先股:反映企业期末发行在外永续债、</w:t>
      </w:r>
      <w:r>
        <w:rPr>
          <w:rFonts w:ascii="仿宋_GB2312" w:hAnsi="仿宋_GB2312" w:cs="仿宋_GB2312" w:hint="eastAsia"/>
          <w:bCs/>
          <w:szCs w:val="32"/>
        </w:rPr>
        <w:lastRenderedPageBreak/>
        <w:t>优先股本金（股本总额），归类为金融负债的永续债、优先股需单独列示。</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14.境外发行外币债券总额:反映企业集团所属境内外子企业本年度累计发行外币债券的本金总额，以人民币填列。各项明细按各项债券的实际币种填列。</w:t>
      </w:r>
    </w:p>
    <w:p w:rsidR="00ED5D0A" w:rsidRDefault="00ED5D0A">
      <w:pPr>
        <w:ind w:firstLineChars="200" w:firstLine="640"/>
        <w:rPr>
          <w:rFonts w:ascii="仿宋_GB2312" w:hAnsi="仿宋_GB2312" w:cs="仿宋_GB2312" w:hint="eastAsia"/>
          <w:szCs w:val="32"/>
        </w:rPr>
      </w:pPr>
      <w:r>
        <w:rPr>
          <w:rFonts w:ascii="仿宋_GB2312" w:hAnsi="仿宋_GB2312" w:cs="仿宋_GB2312" w:hint="eastAsia"/>
          <w:bCs/>
          <w:szCs w:val="32"/>
        </w:rPr>
        <w:t>15.境外发行人民币债券总额:反映企业集团所属境内外子企业本年度累计在境外发行人民币债券的本金总额。</w:t>
      </w:r>
    </w:p>
    <w:p w:rsidR="00ED5D0A" w:rsidRDefault="00ED5D0A">
      <w:pPr>
        <w:pStyle w:val="30"/>
        <w:spacing w:line="580" w:lineRule="exact"/>
        <w:ind w:firstLine="643"/>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（三）表内、表间关系</w:t>
      </w:r>
    </w:p>
    <w:p w:rsidR="00ED5D0A" w:rsidRDefault="00ED5D0A">
      <w:pPr>
        <w:ind w:firstLineChars="200" w:firstLine="640"/>
        <w:rPr>
          <w:rFonts w:ascii="仿宋_GB2312" w:hAnsi="仿宋_GB2312" w:cs="仿宋_GB2312" w:hint="eastAsia"/>
          <w:szCs w:val="32"/>
        </w:rPr>
      </w:pPr>
      <w:r>
        <w:rPr>
          <w:rFonts w:ascii="仿宋_GB2312" w:hAnsi="仿宋_GB2312" w:cs="仿宋_GB2312" w:hint="eastAsia"/>
          <w:bCs/>
          <w:szCs w:val="32"/>
        </w:rPr>
        <w:t>详见决算报表任务格式。</w:t>
      </w:r>
    </w:p>
    <w:p w:rsidR="00ED5D0A" w:rsidRDefault="00ED5D0A">
      <w:pPr>
        <w:ind w:firstLineChars="200" w:firstLine="640"/>
        <w:rPr>
          <w:rFonts w:ascii="黑体" w:eastAsia="黑体" w:hAnsi="黑体" w:cs="黑体" w:hint="eastAsia"/>
          <w:szCs w:val="32"/>
        </w:rPr>
      </w:pPr>
      <w:r>
        <w:rPr>
          <w:rFonts w:ascii="黑体" w:eastAsia="黑体" w:hAnsi="黑体" w:cs="黑体" w:hint="eastAsia"/>
          <w:szCs w:val="32"/>
        </w:rPr>
        <w:t>十、财政补贴明细表</w:t>
      </w:r>
    </w:p>
    <w:p w:rsidR="00ED5D0A" w:rsidRDefault="00ED5D0A">
      <w:pPr>
        <w:pStyle w:val="30"/>
        <w:spacing w:line="580" w:lineRule="exact"/>
        <w:ind w:firstLine="643"/>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（一）表内有关指标解释</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 xml:space="preserve">1.中央储备粮油补贴 </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（1）处理中央储备粮食价差补贴和处理中央储备食油价差补贴：反映承储企业按照国家有关部门下达的计划抛售、轮换国家储备粮油所发生的应由中央财政负担的差价补贴。</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（2）中央储备粮食、食油费用、利息补贴：反映粮食企业保管中央储备粮油，应由中央财政拨补的利息、费用、轮换补贴。此项目区分利息补贴、保管费用补贴和轮换补贴分别反映。</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（3）中央储备粮油移库补贴：反映粮食企业依据国家有关部门下达的移库计划，移库中央储备粮，应由中央财政负担的费用补贴。</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2.地方储备粮油补贴</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lastRenderedPageBreak/>
        <w:t>（1）处理地方储备粮食价差补贴和处理地方储备食油价差补贴：反映承储企业按照地方政府下达的计划抛售、轮换地方储备粮油所发生的应由地方财政负担的差价补贴。</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（2）地方储备粮食、食油费用、利息补贴：反映粮食企业保管地方储备粮油，应由地方财政拨补的利息、费用、轮换补贴。此项目区分利息补贴、保管费用补贴和轮换补贴分别反映。</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（3）地方储备粮油移库补贴：反映粮食企业根据地方政府部门下达的地方储备粮油移库计划，对地方储备粮油移库，应由地方财政负担的费用补贴。</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3.其他政策性粮油补贴</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（1）销售国家最低收购价粮食差价补贴：反映粮食企业按照国家有关规定，执行国家最低收购价粮食业务政策，在销售环节应由财政负担的价差补贴。</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（2）销售国家临时存储粮食价差补贴：反映粮食企业按照国家有关规定，执行国家临时存储粮食业务政策，在销售环节应由财政负担的价差补贴。</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（3）救济救助补贴：反映企业执行国家相关救济救助政策应由财政负担的补贴。包括原供应贫困地区农村返销粮价差补贴、救灾救济粮食补助和水库移民口粮补贴都在本项目内填列。</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（4）其他价格补贴：反映除上述三项价格补贴之外，企业执行各级政府相关政策性业务，应取得的各种价差补贴。包括原军供粮油价差补贴、处理陈化粮价差补贴、处理原订购价（保护</w:t>
      </w:r>
      <w:r>
        <w:rPr>
          <w:rFonts w:ascii="仿宋_GB2312" w:hAnsi="仿宋_GB2312" w:cs="仿宋_GB2312" w:hint="eastAsia"/>
          <w:bCs/>
          <w:szCs w:val="32"/>
        </w:rPr>
        <w:lastRenderedPageBreak/>
        <w:t>价）粮食价差补贴</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（5）最低收购价粮食费用利息补贴：反映粮食企业按照国家有关规定，执行国家最低收购价粮食业务政策，在存储和移库等业务环节应由财政负担的价差补贴。企业发生的收购费用不在此项目内反映。</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其中：利息补贴：反映由财政等相关部门将借款利息先拨付企业，再由企业偿还相关金融机构方式下，相关利息补贴的计提和拨补情况。如果借款利息是由财政等相关部门直接拨付到企业借款金融机构方式，则企业不填列此项目。</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6）临时存储粮油利息费用补贴：反映粮食企业按照国家有关规定，执行国家临时存储粮食业务政策，在存储和移库等业务环节应由财政负担的价差补贴。企业发生的收购、烘干和露天做囤费用，不在此项目内反映。</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其中：利息补贴反映由财政等相关部门将借款利息先拨付企业，再由企业偿还相关金融机构方式下，相关利息补贴的计提和拨补情况。如果借款利息是由财政等相关部门直接拨付到企业借款金融机构方式，则企业不填列此项目。</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7）其他费用、利息补贴：反映除最低收购价粮食政策和临时存储粮油政策外，企业执行其他粮油购销政策，应取得的费用和利息补贴。原定购价（保护价）粮食费用和利息补贴、退耕还林（退牧还草）粮食供应费用补助，也填列在该项目内。</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（8）其他补贴：反映前述其他政策性粮油补贴中，价格补</w:t>
      </w:r>
      <w:r>
        <w:rPr>
          <w:rFonts w:ascii="仿宋_GB2312" w:hAnsi="仿宋_GB2312" w:cs="仿宋_GB2312" w:hint="eastAsia"/>
          <w:bCs/>
          <w:szCs w:val="32"/>
        </w:rPr>
        <w:lastRenderedPageBreak/>
        <w:t>贴、粮油费用利息补贴之外，企业执行政策性业务，应取得财政补贴的计提和拨付情况。</w:t>
      </w:r>
    </w:p>
    <w:p w:rsidR="00ED5D0A" w:rsidRDefault="00ED5D0A">
      <w:pPr>
        <w:pStyle w:val="30"/>
        <w:spacing w:line="580" w:lineRule="exact"/>
        <w:ind w:firstLine="643"/>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（二）表内、表间关系</w:t>
      </w:r>
    </w:p>
    <w:p w:rsidR="00ED5D0A" w:rsidRDefault="00ED5D0A">
      <w:pPr>
        <w:ind w:firstLineChars="200" w:firstLine="640"/>
        <w:rPr>
          <w:rFonts w:ascii="仿宋_GB2312" w:hAnsi="仿宋_GB2312" w:cs="仿宋_GB2312" w:hint="eastAsia"/>
          <w:bCs/>
          <w:szCs w:val="32"/>
        </w:rPr>
      </w:pPr>
      <w:r>
        <w:rPr>
          <w:rFonts w:ascii="仿宋_GB2312" w:hAnsi="仿宋_GB2312" w:cs="仿宋_GB2312" w:hint="eastAsia"/>
          <w:bCs/>
          <w:szCs w:val="32"/>
        </w:rPr>
        <w:t>详见决算报表任务格式。</w:t>
      </w:r>
    </w:p>
    <w:p w:rsidR="00ED5D0A" w:rsidRDefault="00ED5D0A">
      <w:pPr>
        <w:ind w:firstLineChars="200" w:firstLine="640"/>
        <w:rPr>
          <w:rFonts w:ascii="楷体_GB2312" w:eastAsia="楷体_GB2312" w:hAnsi="楷体_GB2312" w:cs="楷体_GB2312" w:hint="eastAsia"/>
          <w:b/>
          <w:szCs w:val="32"/>
        </w:rPr>
      </w:pPr>
      <w:r>
        <w:rPr>
          <w:rFonts w:ascii="黑体" w:eastAsia="黑体" w:hAnsi="黑体" w:cs="黑体" w:hint="eastAsia"/>
          <w:szCs w:val="32"/>
        </w:rPr>
        <w:t>十一、费用明细表</w:t>
      </w:r>
    </w:p>
    <w:p w:rsidR="00ED5D0A" w:rsidRDefault="00ED5D0A">
      <w:pPr>
        <w:pStyle w:val="30"/>
        <w:spacing w:line="580" w:lineRule="exact"/>
        <w:ind w:firstLine="643"/>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（一）表内有关指标解释</w:t>
      </w:r>
    </w:p>
    <w:p w:rsidR="00ED5D0A" w:rsidRDefault="00ED5D0A">
      <w:pPr>
        <w:ind w:firstLineChars="200" w:firstLine="640"/>
        <w:rPr>
          <w:rFonts w:ascii="楷体_GB2312" w:eastAsia="楷体_GB2312" w:hAnsi="楷体_GB2312" w:cs="楷体_GB2312" w:hint="eastAsia"/>
          <w:b/>
          <w:szCs w:val="32"/>
        </w:rPr>
      </w:pPr>
      <w:r>
        <w:rPr>
          <w:rFonts w:ascii="仿宋_GB2312" w:hAnsi="仿宋_GB2312" w:cs="仿宋_GB2312" w:hint="eastAsia"/>
          <w:bCs/>
          <w:color w:val="000000"/>
          <w:szCs w:val="32"/>
        </w:rPr>
        <w:t>略。</w:t>
      </w:r>
    </w:p>
    <w:p w:rsidR="00ED5D0A" w:rsidRDefault="00ED5D0A">
      <w:pPr>
        <w:pStyle w:val="30"/>
        <w:spacing w:line="580" w:lineRule="exact"/>
        <w:ind w:firstLine="643"/>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（二）表内、表间关系</w:t>
      </w:r>
    </w:p>
    <w:p w:rsidR="00ED5D0A" w:rsidRDefault="00ED5D0A">
      <w:pPr>
        <w:ind w:firstLineChars="200" w:firstLine="640"/>
        <w:rPr>
          <w:rFonts w:ascii="仿宋_GB2312" w:hAnsi="仿宋_GB2312" w:cs="仿宋_GB2312" w:hint="eastAsia"/>
          <w:bCs/>
          <w:color w:val="000000"/>
          <w:szCs w:val="32"/>
        </w:rPr>
      </w:pPr>
      <w:r>
        <w:rPr>
          <w:rFonts w:ascii="仿宋_GB2312" w:hAnsi="仿宋_GB2312" w:cs="仿宋_GB2312" w:hint="eastAsia"/>
          <w:bCs/>
          <w:color w:val="000000"/>
          <w:szCs w:val="32"/>
        </w:rPr>
        <w:t>详见决算报表任务格式。</w:t>
      </w:r>
    </w:p>
    <w:p w:rsidR="00ED5D0A" w:rsidRDefault="00ED5D0A">
      <w:pPr>
        <w:ind w:firstLineChars="200" w:firstLine="640"/>
        <w:rPr>
          <w:rFonts w:ascii="黑体" w:eastAsia="黑体" w:hAnsi="黑体" w:cs="黑体" w:hint="eastAsia"/>
          <w:szCs w:val="32"/>
        </w:rPr>
      </w:pPr>
      <w:r>
        <w:rPr>
          <w:rFonts w:ascii="黑体" w:eastAsia="黑体" w:hAnsi="黑体" w:cs="黑体" w:hint="eastAsia"/>
          <w:szCs w:val="32"/>
        </w:rPr>
        <w:t>十二、粮食行业情况调查表</w:t>
      </w:r>
    </w:p>
    <w:p w:rsidR="00ED5D0A" w:rsidRDefault="00ED5D0A">
      <w:pPr>
        <w:pStyle w:val="30"/>
        <w:spacing w:line="580" w:lineRule="exact"/>
        <w:ind w:firstLine="643"/>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（一）基本内容</w:t>
      </w:r>
    </w:p>
    <w:p w:rsidR="00ED5D0A" w:rsidRDefault="00ED5D0A">
      <w:pPr>
        <w:ind w:firstLineChars="200" w:firstLine="640"/>
        <w:rPr>
          <w:rFonts w:ascii="仿宋_GB2312" w:hAnsi="仿宋_GB2312" w:cs="仿宋_GB2312" w:hint="eastAsia"/>
          <w:bCs/>
          <w:color w:val="000000"/>
          <w:szCs w:val="32"/>
        </w:rPr>
      </w:pPr>
      <w:r>
        <w:rPr>
          <w:rFonts w:ascii="仿宋_GB2312" w:hAnsi="仿宋_GB2312" w:cs="仿宋_GB2312" w:hint="eastAsia"/>
          <w:bCs/>
          <w:color w:val="000000"/>
          <w:szCs w:val="32"/>
        </w:rPr>
        <w:t>本表主要反映粮食企业改革、粮食财会人员队伍和有关财政补助资金使用情况。由企业根据实际情况，综合分析填列。</w:t>
      </w:r>
    </w:p>
    <w:p w:rsidR="00ED5D0A" w:rsidRDefault="00ED5D0A">
      <w:pPr>
        <w:pStyle w:val="30"/>
        <w:spacing w:line="580" w:lineRule="exact"/>
        <w:ind w:firstLine="643"/>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（二）表内有关指标解释</w:t>
      </w:r>
    </w:p>
    <w:p w:rsidR="00ED5D0A" w:rsidRDefault="00ED5D0A">
      <w:pPr>
        <w:ind w:firstLineChars="200" w:firstLine="640"/>
        <w:rPr>
          <w:rFonts w:ascii="仿宋_GB2312" w:hAnsi="仿宋_GB2312" w:cs="仿宋_GB2312" w:hint="eastAsia"/>
          <w:bCs/>
          <w:color w:val="000000"/>
          <w:szCs w:val="32"/>
        </w:rPr>
      </w:pPr>
      <w:r>
        <w:rPr>
          <w:rFonts w:ascii="仿宋_GB2312" w:hAnsi="仿宋_GB2312" w:cs="仿宋_GB2312" w:hint="eastAsia"/>
          <w:bCs/>
          <w:color w:val="000000"/>
          <w:szCs w:val="32"/>
        </w:rPr>
        <w:t>1.“企业户数情况”：反映具有法人资格、独立核算且能够编制提供完整会计报表的国有及国有控股粮食企业和实行企业化管理的粮食事业单位户数情况。纳入汇总范围的基层独立核算、且有法人资格的粮食企业，直接填写“1”。</w:t>
      </w:r>
    </w:p>
    <w:p w:rsidR="00ED5D0A" w:rsidRDefault="00ED5D0A">
      <w:pPr>
        <w:ind w:firstLineChars="200" w:firstLine="640"/>
        <w:rPr>
          <w:rFonts w:ascii="仿宋_GB2312" w:hAnsi="仿宋_GB2312" w:cs="仿宋_GB2312" w:hint="eastAsia"/>
          <w:bCs/>
          <w:color w:val="000000"/>
          <w:szCs w:val="32"/>
        </w:rPr>
      </w:pPr>
      <w:r>
        <w:rPr>
          <w:rFonts w:ascii="仿宋_GB2312" w:hAnsi="仿宋_GB2312" w:cs="仿宋_GB2312" w:hint="eastAsia"/>
          <w:bCs/>
          <w:color w:val="000000"/>
          <w:szCs w:val="32"/>
        </w:rPr>
        <w:t>2.“盈利企业户数”：反映本年度经营盈利的企业户数，不包括单户企业经营持平的企业。</w:t>
      </w:r>
    </w:p>
    <w:p w:rsidR="00ED5D0A" w:rsidRDefault="00ED5D0A">
      <w:pPr>
        <w:pStyle w:val="30"/>
        <w:spacing w:line="580" w:lineRule="exact"/>
        <w:ind w:firstLine="643"/>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（三）表内、表间关系</w:t>
      </w:r>
    </w:p>
    <w:p w:rsidR="00ED5D0A" w:rsidRDefault="00ED5D0A" w:rsidP="000A77FC">
      <w:pPr>
        <w:ind w:firstLineChars="200" w:firstLine="640"/>
        <w:rPr>
          <w:rFonts w:ascii="仿宋_GB2312" w:hAnsi="仿宋_GB2312" w:cs="仿宋_GB2312" w:hint="eastAsia"/>
          <w:bCs/>
          <w:color w:val="000000"/>
          <w:szCs w:val="32"/>
        </w:rPr>
      </w:pPr>
      <w:r>
        <w:rPr>
          <w:rFonts w:ascii="仿宋_GB2312" w:hAnsi="仿宋_GB2312" w:cs="仿宋_GB2312" w:hint="eastAsia"/>
          <w:bCs/>
          <w:color w:val="000000"/>
          <w:szCs w:val="32"/>
        </w:rPr>
        <w:t>略。</w:t>
      </w:r>
    </w:p>
    <w:sectPr w:rsidR="00ED5D0A" w:rsidSect="000A77FC">
      <w:footerReference w:type="default" r:id="rId6"/>
      <w:pgSz w:w="11906" w:h="16838"/>
      <w:pgMar w:top="2098" w:right="1531" w:bottom="1531" w:left="1531" w:header="851" w:footer="1531" w:gutter="0"/>
      <w:pgNumType w:fmt="numberInDash"/>
      <w:cols w:space="720"/>
      <w:docGrid w:type="lines" w:linePitch="4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BF8" w:rsidRDefault="00B80BF8">
      <w:pPr>
        <w:spacing w:line="240" w:lineRule="auto"/>
      </w:pPr>
      <w:r>
        <w:separator/>
      </w:r>
    </w:p>
  </w:endnote>
  <w:endnote w:type="continuationSeparator" w:id="0">
    <w:p w:rsidR="00B80BF8" w:rsidRDefault="00B80B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康简标题宋">
    <w:altName w:val="MS Mincho"/>
    <w:charset w:val="86"/>
    <w:family w:val="modern"/>
    <w:pitch w:val="default"/>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D0A" w:rsidRPr="000A77FC" w:rsidRDefault="000A77FC" w:rsidP="000A77FC">
    <w:pPr>
      <w:pStyle w:val="ab"/>
      <w:jc w:val="center"/>
      <w:rPr>
        <w:rFonts w:ascii="宋体" w:eastAsia="宋体" w:hAnsi="宋体"/>
        <w:sz w:val="28"/>
        <w:szCs w:val="28"/>
      </w:rPr>
    </w:pPr>
    <w:r w:rsidRPr="000A77FC">
      <w:rPr>
        <w:rFonts w:ascii="宋体" w:eastAsia="宋体" w:hAnsi="宋体"/>
        <w:sz w:val="28"/>
        <w:szCs w:val="28"/>
      </w:rPr>
      <w:fldChar w:fldCharType="begin"/>
    </w:r>
    <w:r w:rsidRPr="000A77FC">
      <w:rPr>
        <w:rFonts w:ascii="宋体" w:eastAsia="宋体" w:hAnsi="宋体"/>
        <w:sz w:val="28"/>
        <w:szCs w:val="28"/>
      </w:rPr>
      <w:instrText>PAGE   \* MERGEFORMAT</w:instrText>
    </w:r>
    <w:r w:rsidRPr="000A77FC">
      <w:rPr>
        <w:rFonts w:ascii="宋体" w:eastAsia="宋体" w:hAnsi="宋体"/>
        <w:sz w:val="28"/>
        <w:szCs w:val="28"/>
      </w:rPr>
      <w:fldChar w:fldCharType="separate"/>
    </w:r>
    <w:r w:rsidR="000E7B84" w:rsidRPr="000E7B84">
      <w:rPr>
        <w:rFonts w:ascii="宋体" w:eastAsia="宋体" w:hAnsi="宋体"/>
        <w:noProof/>
        <w:sz w:val="28"/>
        <w:szCs w:val="28"/>
        <w:lang w:val="zh-CN"/>
      </w:rPr>
      <w:t>-</w:t>
    </w:r>
    <w:r w:rsidR="000E7B84">
      <w:rPr>
        <w:rFonts w:ascii="宋体" w:eastAsia="宋体" w:hAnsi="宋体"/>
        <w:noProof/>
        <w:sz w:val="28"/>
        <w:szCs w:val="28"/>
      </w:rPr>
      <w:t xml:space="preserve"> 1 -</w:t>
    </w:r>
    <w:r w:rsidRPr="000A77FC">
      <w:rPr>
        <w:rFonts w:ascii="宋体" w:eastAsia="宋体" w:hAnsi="宋体"/>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BF8" w:rsidRDefault="00B80BF8">
      <w:pPr>
        <w:spacing w:line="240" w:lineRule="auto"/>
      </w:pPr>
      <w:r>
        <w:separator/>
      </w:r>
    </w:p>
  </w:footnote>
  <w:footnote w:type="continuationSeparator" w:id="0">
    <w:p w:rsidR="00B80BF8" w:rsidRDefault="00B80BF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60"/>
  <w:drawingGridVerticalSpacing w:val="245"/>
  <w:displayHorizontalDrawingGridEvery w:val="2"/>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87"/>
    <w:rsid w:val="0000004E"/>
    <w:rsid w:val="000001E5"/>
    <w:rsid w:val="000056EA"/>
    <w:rsid w:val="00005C0F"/>
    <w:rsid w:val="00021C61"/>
    <w:rsid w:val="00024088"/>
    <w:rsid w:val="00025532"/>
    <w:rsid w:val="00031B62"/>
    <w:rsid w:val="00035FB1"/>
    <w:rsid w:val="000535C4"/>
    <w:rsid w:val="0005669F"/>
    <w:rsid w:val="00065C59"/>
    <w:rsid w:val="000726E8"/>
    <w:rsid w:val="00077DD4"/>
    <w:rsid w:val="0008387E"/>
    <w:rsid w:val="00090397"/>
    <w:rsid w:val="0009557E"/>
    <w:rsid w:val="000A2858"/>
    <w:rsid w:val="000A77FC"/>
    <w:rsid w:val="000B13DD"/>
    <w:rsid w:val="000B19CE"/>
    <w:rsid w:val="000B534A"/>
    <w:rsid w:val="000C0CDF"/>
    <w:rsid w:val="000C146F"/>
    <w:rsid w:val="000C3A3E"/>
    <w:rsid w:val="000C45AC"/>
    <w:rsid w:val="000D0748"/>
    <w:rsid w:val="000D2A6F"/>
    <w:rsid w:val="000D300B"/>
    <w:rsid w:val="000D393E"/>
    <w:rsid w:val="000E1093"/>
    <w:rsid w:val="000E4B1B"/>
    <w:rsid w:val="000E71F8"/>
    <w:rsid w:val="000E7B84"/>
    <w:rsid w:val="0010377E"/>
    <w:rsid w:val="00106740"/>
    <w:rsid w:val="00110B1D"/>
    <w:rsid w:val="00112E5C"/>
    <w:rsid w:val="0012088E"/>
    <w:rsid w:val="00133694"/>
    <w:rsid w:val="0013476F"/>
    <w:rsid w:val="00137874"/>
    <w:rsid w:val="00153D1E"/>
    <w:rsid w:val="0016629E"/>
    <w:rsid w:val="0017464D"/>
    <w:rsid w:val="00174BA4"/>
    <w:rsid w:val="001806A6"/>
    <w:rsid w:val="00181594"/>
    <w:rsid w:val="00181FA0"/>
    <w:rsid w:val="00186CE7"/>
    <w:rsid w:val="001907E7"/>
    <w:rsid w:val="00195DA1"/>
    <w:rsid w:val="001A4164"/>
    <w:rsid w:val="001C26B1"/>
    <w:rsid w:val="001C4F37"/>
    <w:rsid w:val="001D4EBB"/>
    <w:rsid w:val="001E53F2"/>
    <w:rsid w:val="002060D1"/>
    <w:rsid w:val="00211B58"/>
    <w:rsid w:val="00212C32"/>
    <w:rsid w:val="00217DC8"/>
    <w:rsid w:val="00226EFA"/>
    <w:rsid w:val="00233FF1"/>
    <w:rsid w:val="00240AB1"/>
    <w:rsid w:val="00242345"/>
    <w:rsid w:val="00244823"/>
    <w:rsid w:val="00252DE0"/>
    <w:rsid w:val="00255970"/>
    <w:rsid w:val="00265327"/>
    <w:rsid w:val="00277344"/>
    <w:rsid w:val="00277DF6"/>
    <w:rsid w:val="00292D2B"/>
    <w:rsid w:val="002A3C59"/>
    <w:rsid w:val="002C0508"/>
    <w:rsid w:val="002E16B8"/>
    <w:rsid w:val="002E1DE1"/>
    <w:rsid w:val="002F0EC8"/>
    <w:rsid w:val="002F4D0F"/>
    <w:rsid w:val="002F6B80"/>
    <w:rsid w:val="00312630"/>
    <w:rsid w:val="00315E64"/>
    <w:rsid w:val="00334E05"/>
    <w:rsid w:val="003364A1"/>
    <w:rsid w:val="00344905"/>
    <w:rsid w:val="00354DD0"/>
    <w:rsid w:val="00357529"/>
    <w:rsid w:val="00361E8D"/>
    <w:rsid w:val="00362D03"/>
    <w:rsid w:val="003755FC"/>
    <w:rsid w:val="00377132"/>
    <w:rsid w:val="003B2903"/>
    <w:rsid w:val="003B4B18"/>
    <w:rsid w:val="003B7617"/>
    <w:rsid w:val="003C2E56"/>
    <w:rsid w:val="003D236A"/>
    <w:rsid w:val="003D27BE"/>
    <w:rsid w:val="003D5FD1"/>
    <w:rsid w:val="003D7CB9"/>
    <w:rsid w:val="003E08F0"/>
    <w:rsid w:val="003F7EE5"/>
    <w:rsid w:val="00401C10"/>
    <w:rsid w:val="004046F6"/>
    <w:rsid w:val="0042199E"/>
    <w:rsid w:val="00424D63"/>
    <w:rsid w:val="00425F93"/>
    <w:rsid w:val="00430F55"/>
    <w:rsid w:val="00443780"/>
    <w:rsid w:val="0044414E"/>
    <w:rsid w:val="004504BF"/>
    <w:rsid w:val="00451A34"/>
    <w:rsid w:val="00453DA4"/>
    <w:rsid w:val="00455DAB"/>
    <w:rsid w:val="00455E61"/>
    <w:rsid w:val="00465B25"/>
    <w:rsid w:val="00487133"/>
    <w:rsid w:val="00487EF6"/>
    <w:rsid w:val="0049697D"/>
    <w:rsid w:val="004977CE"/>
    <w:rsid w:val="004B0A4E"/>
    <w:rsid w:val="004B599A"/>
    <w:rsid w:val="004E25E9"/>
    <w:rsid w:val="004E7AB8"/>
    <w:rsid w:val="004F2683"/>
    <w:rsid w:val="00500542"/>
    <w:rsid w:val="005006EE"/>
    <w:rsid w:val="00507438"/>
    <w:rsid w:val="0051084E"/>
    <w:rsid w:val="005156A4"/>
    <w:rsid w:val="00521100"/>
    <w:rsid w:val="00533C41"/>
    <w:rsid w:val="00541731"/>
    <w:rsid w:val="00541E2E"/>
    <w:rsid w:val="0054242B"/>
    <w:rsid w:val="00547363"/>
    <w:rsid w:val="0055757B"/>
    <w:rsid w:val="0056191F"/>
    <w:rsid w:val="00567FB6"/>
    <w:rsid w:val="00575764"/>
    <w:rsid w:val="00586666"/>
    <w:rsid w:val="005A56F4"/>
    <w:rsid w:val="005A70A7"/>
    <w:rsid w:val="005B278C"/>
    <w:rsid w:val="005C2B44"/>
    <w:rsid w:val="005C59C8"/>
    <w:rsid w:val="005E1D90"/>
    <w:rsid w:val="005E1E08"/>
    <w:rsid w:val="005E69D7"/>
    <w:rsid w:val="00603ACC"/>
    <w:rsid w:val="00606840"/>
    <w:rsid w:val="00610B06"/>
    <w:rsid w:val="00615BE4"/>
    <w:rsid w:val="00616607"/>
    <w:rsid w:val="00620FC5"/>
    <w:rsid w:val="006326DC"/>
    <w:rsid w:val="00676203"/>
    <w:rsid w:val="006879C5"/>
    <w:rsid w:val="006949E6"/>
    <w:rsid w:val="006A0356"/>
    <w:rsid w:val="006A0806"/>
    <w:rsid w:val="006A1C4C"/>
    <w:rsid w:val="006A42FD"/>
    <w:rsid w:val="006C0C90"/>
    <w:rsid w:val="006C11D7"/>
    <w:rsid w:val="006D127C"/>
    <w:rsid w:val="006D1BCE"/>
    <w:rsid w:val="006F1F1B"/>
    <w:rsid w:val="006F4829"/>
    <w:rsid w:val="0070176B"/>
    <w:rsid w:val="007051BD"/>
    <w:rsid w:val="0070650D"/>
    <w:rsid w:val="007237B8"/>
    <w:rsid w:val="0074241D"/>
    <w:rsid w:val="00744568"/>
    <w:rsid w:val="00752CE3"/>
    <w:rsid w:val="00757A97"/>
    <w:rsid w:val="007702FB"/>
    <w:rsid w:val="00777798"/>
    <w:rsid w:val="00793D77"/>
    <w:rsid w:val="00794C71"/>
    <w:rsid w:val="007A7D9F"/>
    <w:rsid w:val="007B0166"/>
    <w:rsid w:val="007C01AC"/>
    <w:rsid w:val="007C2B51"/>
    <w:rsid w:val="007E13CE"/>
    <w:rsid w:val="007E2BAE"/>
    <w:rsid w:val="008063BE"/>
    <w:rsid w:val="008217A1"/>
    <w:rsid w:val="00825DBA"/>
    <w:rsid w:val="0083482E"/>
    <w:rsid w:val="008402F8"/>
    <w:rsid w:val="0084389E"/>
    <w:rsid w:val="00850D68"/>
    <w:rsid w:val="0085327D"/>
    <w:rsid w:val="00853863"/>
    <w:rsid w:val="00857DE0"/>
    <w:rsid w:val="008640C0"/>
    <w:rsid w:val="008705F7"/>
    <w:rsid w:val="0088018F"/>
    <w:rsid w:val="00880AC3"/>
    <w:rsid w:val="00882EEC"/>
    <w:rsid w:val="008965BF"/>
    <w:rsid w:val="008B5871"/>
    <w:rsid w:val="008C4563"/>
    <w:rsid w:val="008D0BB8"/>
    <w:rsid w:val="008D2BC3"/>
    <w:rsid w:val="008D4ED3"/>
    <w:rsid w:val="008E3981"/>
    <w:rsid w:val="008F1E38"/>
    <w:rsid w:val="00900E53"/>
    <w:rsid w:val="009054D6"/>
    <w:rsid w:val="00907E65"/>
    <w:rsid w:val="0091056C"/>
    <w:rsid w:val="009115C0"/>
    <w:rsid w:val="00912E59"/>
    <w:rsid w:val="00912F0B"/>
    <w:rsid w:val="00914EBB"/>
    <w:rsid w:val="00937758"/>
    <w:rsid w:val="00943332"/>
    <w:rsid w:val="0095058D"/>
    <w:rsid w:val="00952E66"/>
    <w:rsid w:val="0097691F"/>
    <w:rsid w:val="0098741E"/>
    <w:rsid w:val="00991D90"/>
    <w:rsid w:val="0099351A"/>
    <w:rsid w:val="00996BE1"/>
    <w:rsid w:val="009B23F4"/>
    <w:rsid w:val="009B5221"/>
    <w:rsid w:val="009B71B2"/>
    <w:rsid w:val="009C5CA2"/>
    <w:rsid w:val="009D3A43"/>
    <w:rsid w:val="009E06AD"/>
    <w:rsid w:val="009E2FFE"/>
    <w:rsid w:val="009F45DC"/>
    <w:rsid w:val="00A0504C"/>
    <w:rsid w:val="00A0750E"/>
    <w:rsid w:val="00A1021E"/>
    <w:rsid w:val="00A14A59"/>
    <w:rsid w:val="00A249B0"/>
    <w:rsid w:val="00A25E52"/>
    <w:rsid w:val="00A309CC"/>
    <w:rsid w:val="00A36A0F"/>
    <w:rsid w:val="00A5748B"/>
    <w:rsid w:val="00A6422B"/>
    <w:rsid w:val="00A67B3C"/>
    <w:rsid w:val="00A72720"/>
    <w:rsid w:val="00A748F1"/>
    <w:rsid w:val="00A90B34"/>
    <w:rsid w:val="00A93234"/>
    <w:rsid w:val="00A94B37"/>
    <w:rsid w:val="00A97311"/>
    <w:rsid w:val="00AB7E1F"/>
    <w:rsid w:val="00AC3BD8"/>
    <w:rsid w:val="00AC4F26"/>
    <w:rsid w:val="00AC524E"/>
    <w:rsid w:val="00AC54E9"/>
    <w:rsid w:val="00AE506A"/>
    <w:rsid w:val="00AE70B8"/>
    <w:rsid w:val="00B03092"/>
    <w:rsid w:val="00B042BC"/>
    <w:rsid w:val="00B16322"/>
    <w:rsid w:val="00B16544"/>
    <w:rsid w:val="00B37F6B"/>
    <w:rsid w:val="00B50C3A"/>
    <w:rsid w:val="00B667C8"/>
    <w:rsid w:val="00B676C7"/>
    <w:rsid w:val="00B71FAD"/>
    <w:rsid w:val="00B80BF8"/>
    <w:rsid w:val="00B82910"/>
    <w:rsid w:val="00B9465A"/>
    <w:rsid w:val="00BA12D0"/>
    <w:rsid w:val="00BA6C3C"/>
    <w:rsid w:val="00BC20D6"/>
    <w:rsid w:val="00BC6852"/>
    <w:rsid w:val="00BD2F43"/>
    <w:rsid w:val="00BE26A4"/>
    <w:rsid w:val="00BE39E9"/>
    <w:rsid w:val="00BE4C94"/>
    <w:rsid w:val="00BF2C82"/>
    <w:rsid w:val="00BF341E"/>
    <w:rsid w:val="00BF7F01"/>
    <w:rsid w:val="00C06BC3"/>
    <w:rsid w:val="00C0759C"/>
    <w:rsid w:val="00C10087"/>
    <w:rsid w:val="00C108F4"/>
    <w:rsid w:val="00C14446"/>
    <w:rsid w:val="00C16111"/>
    <w:rsid w:val="00C305D0"/>
    <w:rsid w:val="00C43B47"/>
    <w:rsid w:val="00C60255"/>
    <w:rsid w:val="00C762A2"/>
    <w:rsid w:val="00C8384A"/>
    <w:rsid w:val="00C90A9B"/>
    <w:rsid w:val="00C920D0"/>
    <w:rsid w:val="00CC0548"/>
    <w:rsid w:val="00CC499D"/>
    <w:rsid w:val="00CD282B"/>
    <w:rsid w:val="00CE11D9"/>
    <w:rsid w:val="00CE784F"/>
    <w:rsid w:val="00CF1399"/>
    <w:rsid w:val="00D06677"/>
    <w:rsid w:val="00D11D68"/>
    <w:rsid w:val="00D1313D"/>
    <w:rsid w:val="00D13CEE"/>
    <w:rsid w:val="00D25E6C"/>
    <w:rsid w:val="00D35C8C"/>
    <w:rsid w:val="00D54A94"/>
    <w:rsid w:val="00D653B1"/>
    <w:rsid w:val="00D663F5"/>
    <w:rsid w:val="00D67405"/>
    <w:rsid w:val="00D7407A"/>
    <w:rsid w:val="00DA371E"/>
    <w:rsid w:val="00DA5975"/>
    <w:rsid w:val="00DB4A5E"/>
    <w:rsid w:val="00DB6D74"/>
    <w:rsid w:val="00DC257C"/>
    <w:rsid w:val="00DC3826"/>
    <w:rsid w:val="00DC7A29"/>
    <w:rsid w:val="00DD107C"/>
    <w:rsid w:val="00DD1129"/>
    <w:rsid w:val="00DD7B7E"/>
    <w:rsid w:val="00DD7FC2"/>
    <w:rsid w:val="00DE02E5"/>
    <w:rsid w:val="00DE2419"/>
    <w:rsid w:val="00DE3E70"/>
    <w:rsid w:val="00DE4B38"/>
    <w:rsid w:val="00DF0B6A"/>
    <w:rsid w:val="00DF2C1B"/>
    <w:rsid w:val="00DF3A64"/>
    <w:rsid w:val="00DF4C01"/>
    <w:rsid w:val="00DF6F78"/>
    <w:rsid w:val="00E4368F"/>
    <w:rsid w:val="00E46222"/>
    <w:rsid w:val="00E47D41"/>
    <w:rsid w:val="00E73070"/>
    <w:rsid w:val="00E76FF8"/>
    <w:rsid w:val="00E80ACE"/>
    <w:rsid w:val="00E81D06"/>
    <w:rsid w:val="00E911C5"/>
    <w:rsid w:val="00E96067"/>
    <w:rsid w:val="00EA1A32"/>
    <w:rsid w:val="00EA5D57"/>
    <w:rsid w:val="00EB2E9A"/>
    <w:rsid w:val="00EB70AB"/>
    <w:rsid w:val="00EC51B7"/>
    <w:rsid w:val="00EC7689"/>
    <w:rsid w:val="00ED5D0A"/>
    <w:rsid w:val="00EE2628"/>
    <w:rsid w:val="00EF091C"/>
    <w:rsid w:val="00F24D4E"/>
    <w:rsid w:val="00F25512"/>
    <w:rsid w:val="00F32AA3"/>
    <w:rsid w:val="00F40C33"/>
    <w:rsid w:val="00F50348"/>
    <w:rsid w:val="00F53AEB"/>
    <w:rsid w:val="00F576C7"/>
    <w:rsid w:val="00F65C95"/>
    <w:rsid w:val="00F72081"/>
    <w:rsid w:val="00F81843"/>
    <w:rsid w:val="00F82B5B"/>
    <w:rsid w:val="00F97586"/>
    <w:rsid w:val="00FA2F94"/>
    <w:rsid w:val="00FB447E"/>
    <w:rsid w:val="00FC64D0"/>
    <w:rsid w:val="00FD2EFD"/>
    <w:rsid w:val="00FD69DA"/>
    <w:rsid w:val="00FF4DAF"/>
    <w:rsid w:val="00FF68EE"/>
    <w:rsid w:val="0100432C"/>
    <w:rsid w:val="013D2A53"/>
    <w:rsid w:val="017A13A0"/>
    <w:rsid w:val="02056C4F"/>
    <w:rsid w:val="02321CC1"/>
    <w:rsid w:val="02361C8C"/>
    <w:rsid w:val="023B55BB"/>
    <w:rsid w:val="027D0CEF"/>
    <w:rsid w:val="029E4E0D"/>
    <w:rsid w:val="03643055"/>
    <w:rsid w:val="03676DB9"/>
    <w:rsid w:val="03680B64"/>
    <w:rsid w:val="038160EA"/>
    <w:rsid w:val="03A24150"/>
    <w:rsid w:val="0481522D"/>
    <w:rsid w:val="04B25BA6"/>
    <w:rsid w:val="04B52356"/>
    <w:rsid w:val="04E74D75"/>
    <w:rsid w:val="04F85F0D"/>
    <w:rsid w:val="051471E6"/>
    <w:rsid w:val="0537140F"/>
    <w:rsid w:val="05805C62"/>
    <w:rsid w:val="05C27BBC"/>
    <w:rsid w:val="05E56444"/>
    <w:rsid w:val="05EA2E1F"/>
    <w:rsid w:val="061701EF"/>
    <w:rsid w:val="062B631E"/>
    <w:rsid w:val="0647078B"/>
    <w:rsid w:val="06600D58"/>
    <w:rsid w:val="067D5DAB"/>
    <w:rsid w:val="069773E1"/>
    <w:rsid w:val="06E112FC"/>
    <w:rsid w:val="0767605A"/>
    <w:rsid w:val="07EB74F7"/>
    <w:rsid w:val="082862B2"/>
    <w:rsid w:val="082F637B"/>
    <w:rsid w:val="0889700A"/>
    <w:rsid w:val="08956F5C"/>
    <w:rsid w:val="089B6762"/>
    <w:rsid w:val="090776E9"/>
    <w:rsid w:val="091A6D61"/>
    <w:rsid w:val="097C5EF0"/>
    <w:rsid w:val="098C3A9E"/>
    <w:rsid w:val="09940360"/>
    <w:rsid w:val="09DB17D5"/>
    <w:rsid w:val="09E769D6"/>
    <w:rsid w:val="09FE3CDB"/>
    <w:rsid w:val="0A14110B"/>
    <w:rsid w:val="0A285512"/>
    <w:rsid w:val="0A2C4F83"/>
    <w:rsid w:val="0A3C5351"/>
    <w:rsid w:val="0A8A1D9A"/>
    <w:rsid w:val="0ACF04F7"/>
    <w:rsid w:val="0AD72703"/>
    <w:rsid w:val="0B0D4F1A"/>
    <w:rsid w:val="0B1B5D24"/>
    <w:rsid w:val="0BA25FE2"/>
    <w:rsid w:val="0BD40C37"/>
    <w:rsid w:val="0C103FA8"/>
    <w:rsid w:val="0C465112"/>
    <w:rsid w:val="0C5D6231"/>
    <w:rsid w:val="0CA67313"/>
    <w:rsid w:val="0CAA115E"/>
    <w:rsid w:val="0CBB0515"/>
    <w:rsid w:val="0CC50FC7"/>
    <w:rsid w:val="0D20763F"/>
    <w:rsid w:val="0D247161"/>
    <w:rsid w:val="0D3D33C7"/>
    <w:rsid w:val="0D4D33F1"/>
    <w:rsid w:val="0DB50178"/>
    <w:rsid w:val="0DD966F1"/>
    <w:rsid w:val="0E0E5DD1"/>
    <w:rsid w:val="0E7A7D93"/>
    <w:rsid w:val="0E8E50EB"/>
    <w:rsid w:val="0EF24759"/>
    <w:rsid w:val="0F1C735C"/>
    <w:rsid w:val="0F6C7DE4"/>
    <w:rsid w:val="0F720D11"/>
    <w:rsid w:val="0F846682"/>
    <w:rsid w:val="10261193"/>
    <w:rsid w:val="10907183"/>
    <w:rsid w:val="10A307B9"/>
    <w:rsid w:val="115A28E9"/>
    <w:rsid w:val="11A42A3C"/>
    <w:rsid w:val="12D65DA9"/>
    <w:rsid w:val="12EC7709"/>
    <w:rsid w:val="131476EF"/>
    <w:rsid w:val="136C4130"/>
    <w:rsid w:val="13B25AC5"/>
    <w:rsid w:val="13C43928"/>
    <w:rsid w:val="13CE5CFC"/>
    <w:rsid w:val="13D76EAE"/>
    <w:rsid w:val="140341DA"/>
    <w:rsid w:val="143C0223"/>
    <w:rsid w:val="14601C6F"/>
    <w:rsid w:val="14605C79"/>
    <w:rsid w:val="146D570B"/>
    <w:rsid w:val="14AF3D1E"/>
    <w:rsid w:val="152F1ABC"/>
    <w:rsid w:val="15726510"/>
    <w:rsid w:val="157A7108"/>
    <w:rsid w:val="159C2574"/>
    <w:rsid w:val="15AA0E84"/>
    <w:rsid w:val="15CA17D2"/>
    <w:rsid w:val="15FF02ED"/>
    <w:rsid w:val="16A83A3D"/>
    <w:rsid w:val="16C23D22"/>
    <w:rsid w:val="16C371B9"/>
    <w:rsid w:val="17235216"/>
    <w:rsid w:val="1794367B"/>
    <w:rsid w:val="17F33733"/>
    <w:rsid w:val="182F292F"/>
    <w:rsid w:val="18654CBD"/>
    <w:rsid w:val="189031CB"/>
    <w:rsid w:val="19006F22"/>
    <w:rsid w:val="190F1CEC"/>
    <w:rsid w:val="19214E65"/>
    <w:rsid w:val="19A75CB6"/>
    <w:rsid w:val="19C657F3"/>
    <w:rsid w:val="19FB5328"/>
    <w:rsid w:val="1A2A31FF"/>
    <w:rsid w:val="1A64236D"/>
    <w:rsid w:val="1A7F4E45"/>
    <w:rsid w:val="1B100A32"/>
    <w:rsid w:val="1B3C3D68"/>
    <w:rsid w:val="1B5111B2"/>
    <w:rsid w:val="1B856C0E"/>
    <w:rsid w:val="1C550BA2"/>
    <w:rsid w:val="1CCD3021"/>
    <w:rsid w:val="1D2C5912"/>
    <w:rsid w:val="1D4413BD"/>
    <w:rsid w:val="1D5E2F11"/>
    <w:rsid w:val="1DBA2B89"/>
    <w:rsid w:val="1DF809E9"/>
    <w:rsid w:val="1E4E20CF"/>
    <w:rsid w:val="1E5A3DDA"/>
    <w:rsid w:val="1EBB260D"/>
    <w:rsid w:val="1FAA561B"/>
    <w:rsid w:val="1FB67D9B"/>
    <w:rsid w:val="1FED4AF6"/>
    <w:rsid w:val="200B0B70"/>
    <w:rsid w:val="2027619F"/>
    <w:rsid w:val="20666F15"/>
    <w:rsid w:val="20745A0D"/>
    <w:rsid w:val="20897BB6"/>
    <w:rsid w:val="20A22641"/>
    <w:rsid w:val="20A93318"/>
    <w:rsid w:val="20EB442B"/>
    <w:rsid w:val="211F0661"/>
    <w:rsid w:val="21382F84"/>
    <w:rsid w:val="214D178C"/>
    <w:rsid w:val="21A33D35"/>
    <w:rsid w:val="21BA0BB3"/>
    <w:rsid w:val="21C150D4"/>
    <w:rsid w:val="21D31E79"/>
    <w:rsid w:val="21F47EE6"/>
    <w:rsid w:val="22686100"/>
    <w:rsid w:val="226E73A2"/>
    <w:rsid w:val="22AB5DC6"/>
    <w:rsid w:val="22F70D71"/>
    <w:rsid w:val="231818A7"/>
    <w:rsid w:val="23501F2A"/>
    <w:rsid w:val="235E0C06"/>
    <w:rsid w:val="2362696D"/>
    <w:rsid w:val="23772553"/>
    <w:rsid w:val="244D4243"/>
    <w:rsid w:val="24670877"/>
    <w:rsid w:val="24734A9F"/>
    <w:rsid w:val="24977D78"/>
    <w:rsid w:val="24AD1AB3"/>
    <w:rsid w:val="24E86EF5"/>
    <w:rsid w:val="252611FB"/>
    <w:rsid w:val="256C7994"/>
    <w:rsid w:val="257D2AEA"/>
    <w:rsid w:val="25D70443"/>
    <w:rsid w:val="261430F5"/>
    <w:rsid w:val="26445433"/>
    <w:rsid w:val="267D312E"/>
    <w:rsid w:val="268F78CE"/>
    <w:rsid w:val="26CF67EB"/>
    <w:rsid w:val="270B4780"/>
    <w:rsid w:val="2719550F"/>
    <w:rsid w:val="273371AF"/>
    <w:rsid w:val="273F532B"/>
    <w:rsid w:val="2767419A"/>
    <w:rsid w:val="27B10FBB"/>
    <w:rsid w:val="27C23306"/>
    <w:rsid w:val="27D572F4"/>
    <w:rsid w:val="281E5B59"/>
    <w:rsid w:val="285C62CB"/>
    <w:rsid w:val="287013BA"/>
    <w:rsid w:val="28AD399D"/>
    <w:rsid w:val="28D0701B"/>
    <w:rsid w:val="28DC0A23"/>
    <w:rsid w:val="290270B7"/>
    <w:rsid w:val="29134EE9"/>
    <w:rsid w:val="29195BDF"/>
    <w:rsid w:val="2924727F"/>
    <w:rsid w:val="29614BDA"/>
    <w:rsid w:val="29806B8C"/>
    <w:rsid w:val="298C1157"/>
    <w:rsid w:val="29DA7058"/>
    <w:rsid w:val="2AB762C9"/>
    <w:rsid w:val="2AF34352"/>
    <w:rsid w:val="2AFB2D13"/>
    <w:rsid w:val="2B8D274F"/>
    <w:rsid w:val="2B9751F5"/>
    <w:rsid w:val="2BDC36D7"/>
    <w:rsid w:val="2BE31033"/>
    <w:rsid w:val="2BE4147D"/>
    <w:rsid w:val="2BE838E2"/>
    <w:rsid w:val="2CE53F9F"/>
    <w:rsid w:val="2D217364"/>
    <w:rsid w:val="2D277625"/>
    <w:rsid w:val="2D6D20FE"/>
    <w:rsid w:val="2D753590"/>
    <w:rsid w:val="2E330114"/>
    <w:rsid w:val="2E4E46BE"/>
    <w:rsid w:val="2E6D00A0"/>
    <w:rsid w:val="2EB81198"/>
    <w:rsid w:val="2EC53725"/>
    <w:rsid w:val="2F321494"/>
    <w:rsid w:val="2F374C7F"/>
    <w:rsid w:val="2F456486"/>
    <w:rsid w:val="2F6241E3"/>
    <w:rsid w:val="2FCC2A69"/>
    <w:rsid w:val="2FE000BE"/>
    <w:rsid w:val="301457A3"/>
    <w:rsid w:val="30336ED5"/>
    <w:rsid w:val="30945B77"/>
    <w:rsid w:val="30C93185"/>
    <w:rsid w:val="31184774"/>
    <w:rsid w:val="31911278"/>
    <w:rsid w:val="319B3FA6"/>
    <w:rsid w:val="32293A26"/>
    <w:rsid w:val="323F2826"/>
    <w:rsid w:val="326E7B91"/>
    <w:rsid w:val="32B627CD"/>
    <w:rsid w:val="32C5491E"/>
    <w:rsid w:val="32DF5F40"/>
    <w:rsid w:val="33115E2E"/>
    <w:rsid w:val="335C0670"/>
    <w:rsid w:val="33805992"/>
    <w:rsid w:val="33A413D8"/>
    <w:rsid w:val="343E5FE6"/>
    <w:rsid w:val="344F0FAC"/>
    <w:rsid w:val="347661C3"/>
    <w:rsid w:val="347C1F6A"/>
    <w:rsid w:val="34A62567"/>
    <w:rsid w:val="34E203C6"/>
    <w:rsid w:val="350F1F33"/>
    <w:rsid w:val="3598587F"/>
    <w:rsid w:val="35D70F65"/>
    <w:rsid w:val="361D24F3"/>
    <w:rsid w:val="363C014D"/>
    <w:rsid w:val="363E09EB"/>
    <w:rsid w:val="36735217"/>
    <w:rsid w:val="36B63BA2"/>
    <w:rsid w:val="377F0408"/>
    <w:rsid w:val="38316D5D"/>
    <w:rsid w:val="38580AC0"/>
    <w:rsid w:val="388810AE"/>
    <w:rsid w:val="38B24D56"/>
    <w:rsid w:val="38BB0519"/>
    <w:rsid w:val="38DE7E03"/>
    <w:rsid w:val="38E411E0"/>
    <w:rsid w:val="38FE1A6B"/>
    <w:rsid w:val="390C0442"/>
    <w:rsid w:val="393577B2"/>
    <w:rsid w:val="395334A5"/>
    <w:rsid w:val="3964476D"/>
    <w:rsid w:val="3BB12110"/>
    <w:rsid w:val="3BDF4820"/>
    <w:rsid w:val="3BE60D54"/>
    <w:rsid w:val="3C2A7BFF"/>
    <w:rsid w:val="3C4349E4"/>
    <w:rsid w:val="3C7A0B72"/>
    <w:rsid w:val="3C8C5BAF"/>
    <w:rsid w:val="3CA1172F"/>
    <w:rsid w:val="3CC44E86"/>
    <w:rsid w:val="3CE4249F"/>
    <w:rsid w:val="3D16223B"/>
    <w:rsid w:val="3D1B2001"/>
    <w:rsid w:val="3D1F6A62"/>
    <w:rsid w:val="3D6544A0"/>
    <w:rsid w:val="3D6C4B95"/>
    <w:rsid w:val="3D7E648C"/>
    <w:rsid w:val="3D9D459C"/>
    <w:rsid w:val="3DB37831"/>
    <w:rsid w:val="3DB85A9D"/>
    <w:rsid w:val="3DC32D45"/>
    <w:rsid w:val="3DC90DE2"/>
    <w:rsid w:val="3DD66DFE"/>
    <w:rsid w:val="3E4F139B"/>
    <w:rsid w:val="3E540D69"/>
    <w:rsid w:val="3F9E622C"/>
    <w:rsid w:val="3FF646F2"/>
    <w:rsid w:val="401E0102"/>
    <w:rsid w:val="40744EA8"/>
    <w:rsid w:val="40A224F4"/>
    <w:rsid w:val="40A836E0"/>
    <w:rsid w:val="410647B5"/>
    <w:rsid w:val="410A2D16"/>
    <w:rsid w:val="4145559B"/>
    <w:rsid w:val="41887A70"/>
    <w:rsid w:val="41A46DC3"/>
    <w:rsid w:val="41D77762"/>
    <w:rsid w:val="41F52922"/>
    <w:rsid w:val="421F48C3"/>
    <w:rsid w:val="42460D82"/>
    <w:rsid w:val="42DF4127"/>
    <w:rsid w:val="42E22EEE"/>
    <w:rsid w:val="42F733E9"/>
    <w:rsid w:val="433D1F0D"/>
    <w:rsid w:val="43472FFD"/>
    <w:rsid w:val="440269D6"/>
    <w:rsid w:val="44212BAD"/>
    <w:rsid w:val="44395BAE"/>
    <w:rsid w:val="446C6206"/>
    <w:rsid w:val="450B006E"/>
    <w:rsid w:val="4535418A"/>
    <w:rsid w:val="453849E9"/>
    <w:rsid w:val="454405A2"/>
    <w:rsid w:val="45747D5B"/>
    <w:rsid w:val="458174DB"/>
    <w:rsid w:val="45850C3D"/>
    <w:rsid w:val="46050B7D"/>
    <w:rsid w:val="46551C9D"/>
    <w:rsid w:val="4684383B"/>
    <w:rsid w:val="470E05B8"/>
    <w:rsid w:val="485602B5"/>
    <w:rsid w:val="48970DC9"/>
    <w:rsid w:val="48BD2784"/>
    <w:rsid w:val="48C43D73"/>
    <w:rsid w:val="492D1961"/>
    <w:rsid w:val="4963185B"/>
    <w:rsid w:val="49A95713"/>
    <w:rsid w:val="49C9141C"/>
    <w:rsid w:val="49F603CF"/>
    <w:rsid w:val="49F75F7E"/>
    <w:rsid w:val="4A145E2F"/>
    <w:rsid w:val="4A166928"/>
    <w:rsid w:val="4A641AAB"/>
    <w:rsid w:val="4A9C3723"/>
    <w:rsid w:val="4AA16224"/>
    <w:rsid w:val="4AA52267"/>
    <w:rsid w:val="4B480F2C"/>
    <w:rsid w:val="4B6A7F2B"/>
    <w:rsid w:val="4B7121D0"/>
    <w:rsid w:val="4B8019A4"/>
    <w:rsid w:val="4B965037"/>
    <w:rsid w:val="4C300AD5"/>
    <w:rsid w:val="4CC13874"/>
    <w:rsid w:val="4DA020FC"/>
    <w:rsid w:val="4E0A6621"/>
    <w:rsid w:val="4E1561A8"/>
    <w:rsid w:val="4E362524"/>
    <w:rsid w:val="4E7F7012"/>
    <w:rsid w:val="4EBD5D33"/>
    <w:rsid w:val="4EC66434"/>
    <w:rsid w:val="4EF83441"/>
    <w:rsid w:val="4F177315"/>
    <w:rsid w:val="4F5A1C72"/>
    <w:rsid w:val="4F6B3635"/>
    <w:rsid w:val="4F7E68BD"/>
    <w:rsid w:val="4FA67F19"/>
    <w:rsid w:val="4FC92553"/>
    <w:rsid w:val="4FD81605"/>
    <w:rsid w:val="4FEB6797"/>
    <w:rsid w:val="50240786"/>
    <w:rsid w:val="505B0EB8"/>
    <w:rsid w:val="505B2BA7"/>
    <w:rsid w:val="508D77A6"/>
    <w:rsid w:val="510A4D1D"/>
    <w:rsid w:val="512F6666"/>
    <w:rsid w:val="515C13C9"/>
    <w:rsid w:val="51CF7E5B"/>
    <w:rsid w:val="51D6424F"/>
    <w:rsid w:val="52084456"/>
    <w:rsid w:val="520D08CE"/>
    <w:rsid w:val="52165A45"/>
    <w:rsid w:val="5248656C"/>
    <w:rsid w:val="527B3E5B"/>
    <w:rsid w:val="528411E1"/>
    <w:rsid w:val="52E4610B"/>
    <w:rsid w:val="53284046"/>
    <w:rsid w:val="53B01F79"/>
    <w:rsid w:val="54110629"/>
    <w:rsid w:val="54282BC1"/>
    <w:rsid w:val="5441702D"/>
    <w:rsid w:val="54AE00CF"/>
    <w:rsid w:val="55BA0D41"/>
    <w:rsid w:val="55E9449E"/>
    <w:rsid w:val="5639444F"/>
    <w:rsid w:val="56630793"/>
    <w:rsid w:val="56932157"/>
    <w:rsid w:val="56EC3CD5"/>
    <w:rsid w:val="5747792F"/>
    <w:rsid w:val="57624252"/>
    <w:rsid w:val="57F15C57"/>
    <w:rsid w:val="58957EFA"/>
    <w:rsid w:val="58F07CC3"/>
    <w:rsid w:val="592E53D3"/>
    <w:rsid w:val="59575039"/>
    <w:rsid w:val="59813D93"/>
    <w:rsid w:val="59883000"/>
    <w:rsid w:val="59C27658"/>
    <w:rsid w:val="5A0B67C8"/>
    <w:rsid w:val="5A236935"/>
    <w:rsid w:val="5A434AE9"/>
    <w:rsid w:val="5A92206A"/>
    <w:rsid w:val="5B4A197C"/>
    <w:rsid w:val="5B5C7F53"/>
    <w:rsid w:val="5B613C55"/>
    <w:rsid w:val="5B8824B2"/>
    <w:rsid w:val="5BB47954"/>
    <w:rsid w:val="5CB052D7"/>
    <w:rsid w:val="5CCA1EC1"/>
    <w:rsid w:val="5CEC047D"/>
    <w:rsid w:val="5D432BCA"/>
    <w:rsid w:val="5D803C32"/>
    <w:rsid w:val="5D911389"/>
    <w:rsid w:val="5D9266AD"/>
    <w:rsid w:val="5E150102"/>
    <w:rsid w:val="5EDA48D7"/>
    <w:rsid w:val="5EF733FA"/>
    <w:rsid w:val="5F23622E"/>
    <w:rsid w:val="5F2E40C6"/>
    <w:rsid w:val="5F321D81"/>
    <w:rsid w:val="5F853A5C"/>
    <w:rsid w:val="5F874B68"/>
    <w:rsid w:val="5F90159F"/>
    <w:rsid w:val="5FCA7198"/>
    <w:rsid w:val="601A121A"/>
    <w:rsid w:val="604E2C09"/>
    <w:rsid w:val="60642396"/>
    <w:rsid w:val="60AD54F3"/>
    <w:rsid w:val="60BD7B8F"/>
    <w:rsid w:val="60D41834"/>
    <w:rsid w:val="60E1336C"/>
    <w:rsid w:val="60EB36CE"/>
    <w:rsid w:val="60F70D14"/>
    <w:rsid w:val="612C2E95"/>
    <w:rsid w:val="614A523A"/>
    <w:rsid w:val="619E0CC0"/>
    <w:rsid w:val="62157333"/>
    <w:rsid w:val="62315045"/>
    <w:rsid w:val="623E3F65"/>
    <w:rsid w:val="6247055D"/>
    <w:rsid w:val="627530CD"/>
    <w:rsid w:val="627D4D57"/>
    <w:rsid w:val="6289378D"/>
    <w:rsid w:val="628C2173"/>
    <w:rsid w:val="62EF7305"/>
    <w:rsid w:val="631E6923"/>
    <w:rsid w:val="63500C00"/>
    <w:rsid w:val="63514383"/>
    <w:rsid w:val="638C0B35"/>
    <w:rsid w:val="63C5294F"/>
    <w:rsid w:val="63CF7886"/>
    <w:rsid w:val="641915E0"/>
    <w:rsid w:val="647A4A16"/>
    <w:rsid w:val="647D7CF3"/>
    <w:rsid w:val="64983BEE"/>
    <w:rsid w:val="64B62912"/>
    <w:rsid w:val="64D93835"/>
    <w:rsid w:val="653754F2"/>
    <w:rsid w:val="65676871"/>
    <w:rsid w:val="65982D12"/>
    <w:rsid w:val="65B60B08"/>
    <w:rsid w:val="65CB1E10"/>
    <w:rsid w:val="65D52068"/>
    <w:rsid w:val="66047BD5"/>
    <w:rsid w:val="6647103E"/>
    <w:rsid w:val="664F6E83"/>
    <w:rsid w:val="66786819"/>
    <w:rsid w:val="679B396C"/>
    <w:rsid w:val="67EA2BB7"/>
    <w:rsid w:val="68247025"/>
    <w:rsid w:val="68581A73"/>
    <w:rsid w:val="68791EF7"/>
    <w:rsid w:val="691B1EA9"/>
    <w:rsid w:val="693410C2"/>
    <w:rsid w:val="69CE769B"/>
    <w:rsid w:val="6A164290"/>
    <w:rsid w:val="6A262436"/>
    <w:rsid w:val="6A8224F5"/>
    <w:rsid w:val="6AFA13E3"/>
    <w:rsid w:val="6B201885"/>
    <w:rsid w:val="6B4E2013"/>
    <w:rsid w:val="6B636130"/>
    <w:rsid w:val="6BA84183"/>
    <w:rsid w:val="6BAC1A51"/>
    <w:rsid w:val="6BFC3580"/>
    <w:rsid w:val="6CA16F09"/>
    <w:rsid w:val="6CBB56D1"/>
    <w:rsid w:val="6D0D2AF7"/>
    <w:rsid w:val="6D78715E"/>
    <w:rsid w:val="6D962106"/>
    <w:rsid w:val="6DDB2AF2"/>
    <w:rsid w:val="6E0D0784"/>
    <w:rsid w:val="6E6B6DCE"/>
    <w:rsid w:val="6E6E1996"/>
    <w:rsid w:val="6F0A7124"/>
    <w:rsid w:val="6F6116F9"/>
    <w:rsid w:val="6FBB525D"/>
    <w:rsid w:val="6FC574B2"/>
    <w:rsid w:val="701C35FA"/>
    <w:rsid w:val="70381DC7"/>
    <w:rsid w:val="7050667A"/>
    <w:rsid w:val="707937F7"/>
    <w:rsid w:val="708E7D8B"/>
    <w:rsid w:val="70BD70CC"/>
    <w:rsid w:val="70BF66BC"/>
    <w:rsid w:val="70CA0C8D"/>
    <w:rsid w:val="70F527A0"/>
    <w:rsid w:val="71294426"/>
    <w:rsid w:val="71A42A49"/>
    <w:rsid w:val="71FC158E"/>
    <w:rsid w:val="721C31CA"/>
    <w:rsid w:val="73387B1F"/>
    <w:rsid w:val="7377012E"/>
    <w:rsid w:val="741703E2"/>
    <w:rsid w:val="743B31A5"/>
    <w:rsid w:val="75242DEB"/>
    <w:rsid w:val="75553D1B"/>
    <w:rsid w:val="75687A84"/>
    <w:rsid w:val="75AE019A"/>
    <w:rsid w:val="760F5CE2"/>
    <w:rsid w:val="764C2E74"/>
    <w:rsid w:val="77154ABC"/>
    <w:rsid w:val="77366B5F"/>
    <w:rsid w:val="773D29A8"/>
    <w:rsid w:val="787C2A04"/>
    <w:rsid w:val="789C57B5"/>
    <w:rsid w:val="794B14EB"/>
    <w:rsid w:val="79BB7D39"/>
    <w:rsid w:val="79D23A5B"/>
    <w:rsid w:val="79EA368F"/>
    <w:rsid w:val="7A5D09F9"/>
    <w:rsid w:val="7A62072C"/>
    <w:rsid w:val="7A997592"/>
    <w:rsid w:val="7ABC129B"/>
    <w:rsid w:val="7AC5203A"/>
    <w:rsid w:val="7AC7078B"/>
    <w:rsid w:val="7AD4018B"/>
    <w:rsid w:val="7AE567BC"/>
    <w:rsid w:val="7BBD372B"/>
    <w:rsid w:val="7BF37812"/>
    <w:rsid w:val="7C0A0883"/>
    <w:rsid w:val="7C286359"/>
    <w:rsid w:val="7CB2640D"/>
    <w:rsid w:val="7CDD2347"/>
    <w:rsid w:val="7CF70EAE"/>
    <w:rsid w:val="7CFC5CCC"/>
    <w:rsid w:val="7D295E51"/>
    <w:rsid w:val="7D43160D"/>
    <w:rsid w:val="7D4338B1"/>
    <w:rsid w:val="7DF91FE0"/>
    <w:rsid w:val="7E032A4F"/>
    <w:rsid w:val="7E2A4F07"/>
    <w:rsid w:val="7ED82085"/>
    <w:rsid w:val="7F000734"/>
    <w:rsid w:val="7F0B1AD4"/>
    <w:rsid w:val="7F1410E6"/>
    <w:rsid w:val="7F177BCE"/>
    <w:rsid w:val="7F35575E"/>
    <w:rsid w:val="7F413DB9"/>
    <w:rsid w:val="7F596660"/>
    <w:rsid w:val="7F832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FD9606D4-6CC1-4AF4-98DC-19DC7EEF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jc w:val="both"/>
    </w:pPr>
    <w:rPr>
      <w:rFonts w:eastAsia="仿宋_GB2312"/>
      <w:kern w:val="2"/>
      <w:sz w:val="32"/>
    </w:rPr>
  </w:style>
  <w:style w:type="paragraph" w:styleId="1">
    <w:name w:val="heading 1"/>
    <w:basedOn w:val="a"/>
    <w:next w:val="a"/>
    <w:qFormat/>
    <w:pPr>
      <w:keepNext/>
      <w:keepLines/>
      <w:spacing w:before="340" w:after="330" w:line="576" w:lineRule="auto"/>
      <w:outlineLvl w:val="0"/>
    </w:pPr>
    <w:rPr>
      <w:b/>
      <w:kern w:val="44"/>
      <w:sz w:val="44"/>
    </w:rPr>
  </w:style>
  <w:style w:type="paragraph" w:styleId="3">
    <w:name w:val="heading 3"/>
    <w:basedOn w:val="a"/>
    <w:next w:val="a"/>
    <w:qFormat/>
    <w:pPr>
      <w:spacing w:before="100" w:beforeAutospacing="1" w:after="100" w:afterAutospacing="1"/>
      <w:jc w:val="left"/>
      <w:outlineLvl w:val="2"/>
    </w:pPr>
    <w:rPr>
      <w:rFonts w:ascii="宋体" w:eastAsia="宋体" w:hAnsi="宋体" w:hint="eastAsia"/>
      <w:b/>
      <w:kern w:val="0"/>
      <w:sz w:val="27"/>
      <w:szCs w:val="27"/>
    </w:rPr>
  </w:style>
  <w:style w:type="character" w:default="1" w:styleId="a0">
    <w:name w:val="Default Paragraph Font"/>
    <w:link w:val="Char"/>
    <w:semiHidden/>
    <w:rPr>
      <w:rFonts w:ascii="Tahoma" w:eastAsia="宋体" w:hAnsi="Tahoma"/>
      <w:sz w:val="24"/>
      <w:szCs w:val="24"/>
    </w:rPr>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缩进 字符"/>
    <w:link w:val="a4"/>
    <w:rPr>
      <w:rFonts w:ascii="仿宋_GB2312" w:eastAsia="仿宋_GB2312" w:hAnsi="Tahoma"/>
      <w:b/>
      <w:kern w:val="2"/>
      <w:sz w:val="32"/>
      <w:szCs w:val="24"/>
      <w:lang w:val="en-US" w:eastAsia="zh-CN" w:bidi="ar-SA"/>
    </w:rPr>
  </w:style>
  <w:style w:type="character" w:styleId="a5">
    <w:name w:val="page number"/>
    <w:basedOn w:val="a0"/>
    <w:rPr>
      <w:rFonts w:ascii="Tahoma" w:eastAsia="宋体" w:hAnsi="Tahoma"/>
      <w:sz w:val="24"/>
      <w:szCs w:val="24"/>
    </w:rPr>
  </w:style>
  <w:style w:type="character" w:styleId="a6">
    <w:name w:val="Hyperlink"/>
    <w:rPr>
      <w:rFonts w:ascii="Tahoma" w:eastAsia="宋体" w:hAnsi="Tahoma"/>
      <w:color w:val="0000FF"/>
      <w:sz w:val="24"/>
      <w:szCs w:val="24"/>
      <w:u w:val="single"/>
    </w:rPr>
  </w:style>
  <w:style w:type="paragraph" w:customStyle="1" w:styleId="xl35">
    <w:name w:val="xl35"/>
    <w:basedOn w:val="a"/>
    <w:pPr>
      <w:widowControl/>
      <w:spacing w:before="100" w:beforeAutospacing="1" w:after="100" w:afterAutospacing="1" w:line="240" w:lineRule="auto"/>
      <w:jc w:val="left"/>
      <w:textAlignment w:val="center"/>
    </w:pPr>
    <w:rPr>
      <w:rFonts w:ascii="宋体" w:eastAsia="宋体" w:hAnsi="宋体"/>
      <w:kern w:val="0"/>
      <w:sz w:val="22"/>
      <w:szCs w:val="22"/>
    </w:rPr>
  </w:style>
  <w:style w:type="paragraph" w:customStyle="1" w:styleId="xl41">
    <w:name w:val="xl41"/>
    <w:basedOn w:val="a"/>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hAnsi="宋体" w:hint="eastAsia"/>
      <w:kern w:val="0"/>
      <w:sz w:val="24"/>
      <w:szCs w:val="24"/>
    </w:rPr>
  </w:style>
  <w:style w:type="paragraph" w:customStyle="1" w:styleId="xl39">
    <w:name w:val="xl39"/>
    <w:basedOn w:val="a"/>
    <w:pPr>
      <w:widowControl/>
      <w:spacing w:before="100" w:beforeAutospacing="1" w:after="100" w:afterAutospacing="1" w:line="240" w:lineRule="auto"/>
      <w:jc w:val="left"/>
      <w:textAlignment w:val="center"/>
    </w:pPr>
    <w:rPr>
      <w:rFonts w:ascii="仿宋_GB2312" w:hAnsi="宋体" w:hint="eastAsia"/>
      <w:b/>
      <w:bCs/>
      <w:kern w:val="0"/>
      <w:sz w:val="40"/>
      <w:szCs w:val="40"/>
    </w:rPr>
  </w:style>
  <w:style w:type="paragraph" w:customStyle="1" w:styleId="xl32">
    <w:name w:val="xl32"/>
    <w:basedOn w:val="a"/>
    <w:pPr>
      <w:widowControl/>
      <w:spacing w:before="100" w:beforeAutospacing="1" w:after="100" w:afterAutospacing="1" w:line="240" w:lineRule="auto"/>
      <w:jc w:val="left"/>
      <w:textAlignment w:val="top"/>
    </w:pPr>
    <w:rPr>
      <w:rFonts w:ascii="仿宋_GB2312" w:hAnsi="宋体" w:hint="eastAsia"/>
      <w:kern w:val="0"/>
      <w:sz w:val="22"/>
      <w:szCs w:val="22"/>
    </w:rPr>
  </w:style>
  <w:style w:type="paragraph" w:customStyle="1" w:styleId="xl25">
    <w:name w:val="xl25"/>
    <w:basedOn w:val="a"/>
    <w:pPr>
      <w:widowControl/>
      <w:spacing w:before="100" w:beforeAutospacing="1" w:after="100" w:afterAutospacing="1" w:line="240" w:lineRule="auto"/>
      <w:jc w:val="left"/>
    </w:pPr>
    <w:rPr>
      <w:rFonts w:ascii="仿宋_GB2312" w:hAnsi="宋体" w:hint="eastAsia"/>
      <w:kern w:val="0"/>
      <w:sz w:val="22"/>
      <w:szCs w:val="22"/>
    </w:rPr>
  </w:style>
  <w:style w:type="paragraph" w:styleId="a7">
    <w:name w:val="Date"/>
    <w:basedOn w:val="a"/>
    <w:next w:val="a"/>
    <w:pPr>
      <w:spacing w:line="240" w:lineRule="auto"/>
      <w:ind w:leftChars="2500" w:left="100"/>
    </w:pPr>
    <w:rPr>
      <w:rFonts w:ascii="仿宋_GB2312"/>
      <w:sz w:val="30"/>
      <w:szCs w:val="24"/>
    </w:rPr>
  </w:style>
  <w:style w:type="paragraph" w:styleId="a8">
    <w:name w:val="Normal Indent"/>
    <w:basedOn w:val="a"/>
    <w:pPr>
      <w:spacing w:line="240" w:lineRule="auto"/>
      <w:ind w:firstLineChars="200" w:firstLine="420"/>
    </w:pPr>
    <w:rPr>
      <w:rFonts w:eastAsia="宋体"/>
      <w:kern w:val="10"/>
      <w:sz w:val="21"/>
    </w:rPr>
  </w:style>
  <w:style w:type="paragraph" w:styleId="a9">
    <w:name w:val="Plain Text"/>
    <w:basedOn w:val="a"/>
    <w:pPr>
      <w:spacing w:line="240" w:lineRule="auto"/>
    </w:pPr>
    <w:rPr>
      <w:rFonts w:ascii="宋体" w:eastAsia="宋体" w:hAnsi="Courier New" w:cs="Courier New"/>
      <w:sz w:val="21"/>
      <w:szCs w:val="21"/>
    </w:rPr>
  </w:style>
  <w:style w:type="paragraph" w:customStyle="1" w:styleId="char0">
    <w:name w:val="char"/>
    <w:basedOn w:val="a"/>
    <w:pPr>
      <w:widowControl/>
      <w:spacing w:after="160" w:line="240" w:lineRule="exact"/>
      <w:jc w:val="left"/>
    </w:pPr>
    <w:rPr>
      <w:rFonts w:ascii="Verdana" w:hAnsi="Verdana" w:cs="”“Times New Roman”“"/>
      <w:kern w:val="0"/>
      <w:sz w:val="24"/>
      <w:lang w:eastAsia="en-US"/>
    </w:rPr>
  </w:style>
  <w:style w:type="paragraph" w:customStyle="1" w:styleId="Char1CharCharChar">
    <w:name w:val=" Char1 Char Char Char"/>
    <w:basedOn w:val="a"/>
    <w:rPr>
      <w:sz w:val="30"/>
      <w:szCs w:val="24"/>
    </w:rPr>
  </w:style>
  <w:style w:type="paragraph" w:customStyle="1" w:styleId="Style3">
    <w:name w:val="_Style 3"/>
    <w:basedOn w:val="a"/>
    <w:uiPriority w:val="34"/>
    <w:qFormat/>
    <w:pPr>
      <w:ind w:firstLineChars="200" w:firstLine="420"/>
    </w:p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仿宋_GB2312" w:hAnsi="宋体" w:hint="eastAsia"/>
      <w:kern w:val="0"/>
      <w:sz w:val="24"/>
      <w:szCs w:val="24"/>
    </w:rPr>
  </w:style>
  <w:style w:type="paragraph" w:customStyle="1" w:styleId="xl42">
    <w:name w:val="xl42"/>
    <w:basedOn w:val="a"/>
    <w:pPr>
      <w:widowControl/>
      <w:pBdr>
        <w:bottom w:val="single" w:sz="4" w:space="0" w:color="auto"/>
      </w:pBdr>
      <w:spacing w:before="100" w:beforeAutospacing="1" w:after="100" w:afterAutospacing="1" w:line="240" w:lineRule="auto"/>
      <w:jc w:val="left"/>
    </w:pPr>
    <w:rPr>
      <w:rFonts w:ascii="仿宋_GB2312" w:hAnsi="宋体" w:hint="eastAsia"/>
      <w:kern w:val="0"/>
      <w:sz w:val="22"/>
      <w:szCs w:val="22"/>
    </w:rPr>
  </w:style>
  <w:style w:type="paragraph" w:customStyle="1" w:styleId="CharCharCharCharCharCharChar">
    <w:name w:val=" Char Char Char Char Char Char Char"/>
    <w:basedOn w:val="a"/>
    <w:qFormat/>
  </w:style>
  <w:style w:type="paragraph" w:customStyle="1" w:styleId="Char">
    <w:name w:val=" Char"/>
    <w:basedOn w:val="aa"/>
    <w:link w:val="a0"/>
    <w:pPr>
      <w:spacing w:line="240" w:lineRule="auto"/>
    </w:pPr>
    <w:rPr>
      <w:rFonts w:ascii="Tahoma" w:eastAsia="宋体" w:hAnsi="Tahoma"/>
      <w:sz w:val="24"/>
      <w:szCs w:val="24"/>
    </w:rPr>
  </w:style>
  <w:style w:type="paragraph" w:styleId="a4">
    <w:name w:val="Body Text Indent"/>
    <w:basedOn w:val="a"/>
    <w:link w:val="a3"/>
    <w:pPr>
      <w:spacing w:line="240" w:lineRule="auto"/>
      <w:ind w:firstLine="645"/>
    </w:pPr>
    <w:rPr>
      <w:rFonts w:ascii="仿宋_GB2312"/>
      <w:b/>
    </w:rPr>
  </w:style>
  <w:style w:type="paragraph" w:customStyle="1" w:styleId="ListParagraph">
    <w:name w:val="List Paragraph"/>
    <w:basedOn w:val="a"/>
    <w:uiPriority w:val="34"/>
    <w:qFormat/>
    <w:pPr>
      <w:ind w:firstLineChars="200" w:firstLine="420"/>
    </w:pPr>
  </w:style>
  <w:style w:type="paragraph" w:customStyle="1" w:styleId="font6">
    <w:name w:val="font6"/>
    <w:basedOn w:val="a"/>
    <w:pPr>
      <w:widowControl/>
      <w:spacing w:before="100" w:beforeAutospacing="1" w:after="100" w:afterAutospacing="1" w:line="240" w:lineRule="auto"/>
      <w:jc w:val="left"/>
    </w:pPr>
    <w:rPr>
      <w:rFonts w:eastAsia="宋体"/>
      <w:kern w:val="0"/>
      <w:sz w:val="22"/>
      <w:szCs w:val="22"/>
    </w:rPr>
  </w:style>
  <w:style w:type="paragraph" w:customStyle="1" w:styleId="CharCharCharChar">
    <w:name w:val=" Char Char Char Char"/>
    <w:basedOn w:val="a"/>
    <w:pPr>
      <w:widowControl/>
      <w:spacing w:after="160" w:line="240" w:lineRule="exact"/>
      <w:jc w:val="left"/>
    </w:pPr>
    <w:rPr>
      <w:rFonts w:ascii="Verdana" w:hAnsi="Verdana"/>
      <w:kern w:val="0"/>
      <w:sz w:val="24"/>
      <w:lang w:eastAsia="en-US"/>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黑体" w:eastAsia="黑体" w:hAnsi="Courier New" w:cs="Courier New"/>
      <w:kern w:val="0"/>
      <w:sz w:val="20"/>
    </w:rPr>
  </w:style>
  <w:style w:type="paragraph" w:styleId="ab">
    <w:name w:val="footer"/>
    <w:basedOn w:val="a"/>
    <w:link w:val="ac"/>
    <w:uiPriority w:val="99"/>
    <w:pPr>
      <w:tabs>
        <w:tab w:val="center" w:pos="4153"/>
        <w:tab w:val="right" w:pos="8306"/>
      </w:tabs>
      <w:snapToGrid w:val="0"/>
      <w:spacing w:line="240" w:lineRule="atLeast"/>
      <w:jc w:val="left"/>
    </w:pPr>
    <w:rPr>
      <w:sz w:val="18"/>
    </w:rPr>
  </w:style>
  <w:style w:type="paragraph" w:styleId="aa">
    <w:name w:val="Document Map"/>
    <w:basedOn w:val="a"/>
    <w:semiHidden/>
    <w:pPr>
      <w:shd w:val="clear" w:color="auto" w:fill="000080"/>
    </w:pPr>
  </w:style>
  <w:style w:type="paragraph" w:styleId="ad">
    <w:name w:val="Body Text"/>
    <w:basedOn w:val="a"/>
    <w:pPr>
      <w:spacing w:line="240" w:lineRule="auto"/>
    </w:pPr>
    <w:rPr>
      <w:rFonts w:eastAsia="宋体"/>
      <w:sz w:val="30"/>
      <w:szCs w:val="24"/>
    </w:rPr>
  </w:style>
  <w:style w:type="paragraph" w:styleId="2">
    <w:name w:val="Body Text 2"/>
    <w:basedOn w:val="a"/>
    <w:pPr>
      <w:jc w:val="center"/>
    </w:pPr>
    <w:rPr>
      <w:rFonts w:ascii="华康简标题宋" w:eastAsia="华康简标题宋"/>
      <w:sz w:val="44"/>
    </w:rPr>
  </w:style>
  <w:style w:type="paragraph" w:styleId="30">
    <w:name w:val="Body Text Indent 3"/>
    <w:basedOn w:val="a"/>
    <w:pPr>
      <w:spacing w:line="240" w:lineRule="auto"/>
      <w:ind w:firstLineChars="200" w:firstLine="480"/>
    </w:pPr>
    <w:rPr>
      <w:rFonts w:eastAsia="宋体"/>
      <w:sz w:val="24"/>
    </w:rPr>
  </w:style>
  <w:style w:type="paragraph" w:styleId="31">
    <w:name w:val="Body Text 3"/>
    <w:basedOn w:val="a"/>
    <w:pPr>
      <w:jc w:val="left"/>
    </w:pPr>
    <w:rPr>
      <w:rFonts w:ascii="仿宋_GB2312"/>
      <w:color w:val="000000"/>
      <w:sz w:val="28"/>
    </w:rPr>
  </w:style>
  <w:style w:type="paragraph" w:customStyle="1" w:styleId="xl26">
    <w:name w:val="xl26"/>
    <w:basedOn w:val="a"/>
    <w:pPr>
      <w:widowControl/>
      <w:spacing w:before="100" w:beforeAutospacing="1" w:after="100" w:afterAutospacing="1" w:line="240" w:lineRule="auto"/>
      <w:jc w:val="left"/>
      <w:textAlignment w:val="center"/>
    </w:pPr>
    <w:rPr>
      <w:rFonts w:ascii="仿宋_GB2312" w:hAnsi="宋体" w:hint="eastAsia"/>
      <w:kern w:val="0"/>
      <w:sz w:val="40"/>
      <w:szCs w:val="40"/>
    </w:rPr>
  </w:style>
  <w:style w:type="paragraph" w:customStyle="1" w:styleId="xl36">
    <w:name w:val="xl36"/>
    <w:basedOn w:val="a"/>
    <w:pPr>
      <w:widowControl/>
      <w:spacing w:before="100" w:beforeAutospacing="1" w:after="100" w:afterAutospacing="1" w:line="240" w:lineRule="auto"/>
      <w:jc w:val="left"/>
    </w:pPr>
    <w:rPr>
      <w:rFonts w:ascii="宋体" w:eastAsia="宋体" w:hAnsi="宋体"/>
      <w:kern w:val="0"/>
      <w:sz w:val="24"/>
      <w:szCs w:val="24"/>
    </w:rPr>
  </w:style>
  <w:style w:type="paragraph" w:customStyle="1" w:styleId="xl33">
    <w:name w:val="xl33"/>
    <w:basedOn w:val="a"/>
    <w:pPr>
      <w:widowControl/>
      <w:spacing w:before="100" w:beforeAutospacing="1" w:after="100" w:afterAutospacing="1" w:line="240" w:lineRule="auto"/>
      <w:jc w:val="left"/>
    </w:pPr>
    <w:rPr>
      <w:rFonts w:ascii="仿宋_GB2312" w:hAnsi="宋体" w:hint="eastAsia"/>
      <w:kern w:val="0"/>
      <w:sz w:val="22"/>
      <w:szCs w:val="22"/>
    </w:rPr>
  </w:style>
  <w:style w:type="paragraph" w:styleId="ae">
    <w:name w:val="Balloon Text"/>
    <w:basedOn w:val="a"/>
    <w:semiHidden/>
    <w:pPr>
      <w:spacing w:line="240" w:lineRule="auto"/>
    </w:pPr>
    <w:rPr>
      <w:rFonts w:eastAsia="宋体"/>
      <w:sz w:val="18"/>
      <w:szCs w:val="18"/>
    </w:rPr>
  </w:style>
  <w:style w:type="paragraph" w:customStyle="1" w:styleId="font5">
    <w:name w:val="font5"/>
    <w:basedOn w:val="a"/>
    <w:pPr>
      <w:widowControl/>
      <w:spacing w:before="100" w:beforeAutospacing="1" w:after="100" w:afterAutospacing="1" w:line="240" w:lineRule="auto"/>
      <w:jc w:val="left"/>
    </w:pPr>
    <w:rPr>
      <w:rFonts w:ascii="宋体" w:eastAsia="宋体" w:hAnsi="宋体" w:hint="eastAsia"/>
      <w:kern w:val="0"/>
      <w:sz w:val="18"/>
      <w:szCs w:val="18"/>
    </w:rPr>
  </w:style>
  <w:style w:type="paragraph" w:customStyle="1" w:styleId="xl31">
    <w:name w:val="xl31"/>
    <w:basedOn w:val="a"/>
    <w:pPr>
      <w:widowControl/>
      <w:pBdr>
        <w:top w:val="single" w:sz="4" w:space="0" w:color="auto"/>
      </w:pBdr>
      <w:spacing w:before="100" w:beforeAutospacing="1" w:after="100" w:afterAutospacing="1" w:line="240" w:lineRule="auto"/>
      <w:jc w:val="left"/>
    </w:pPr>
    <w:rPr>
      <w:rFonts w:ascii="仿宋_GB2312" w:hAnsi="宋体" w:hint="eastAsia"/>
      <w:kern w:val="0"/>
      <w:sz w:val="24"/>
      <w:szCs w:val="24"/>
    </w:rPr>
  </w:style>
  <w:style w:type="paragraph" w:customStyle="1" w:styleId="Char1">
    <w:name w:val="Char"/>
    <w:basedOn w:val="aa"/>
    <w:pPr>
      <w:spacing w:line="240" w:lineRule="auto"/>
    </w:pPr>
    <w:rPr>
      <w:rFonts w:ascii="Tahoma" w:eastAsia="宋体" w:hAnsi="Tahoma"/>
      <w:sz w:val="24"/>
      <w:szCs w:val="24"/>
    </w:rPr>
  </w:style>
  <w:style w:type="paragraph" w:customStyle="1" w:styleId="xl24">
    <w:name w:val="xl24"/>
    <w:basedOn w:val="a"/>
    <w:pPr>
      <w:widowControl/>
      <w:spacing w:before="100" w:beforeAutospacing="1" w:after="100" w:afterAutospacing="1" w:line="240" w:lineRule="auto"/>
      <w:jc w:val="center"/>
      <w:textAlignment w:val="center"/>
    </w:pPr>
    <w:rPr>
      <w:rFonts w:ascii="仿宋_GB2312" w:hAnsi="宋体" w:hint="eastAsia"/>
      <w:kern w:val="0"/>
      <w:sz w:val="40"/>
      <w:szCs w:val="40"/>
    </w:rPr>
  </w:style>
  <w:style w:type="paragraph" w:customStyle="1" w:styleId="CharCharCharChar0">
    <w:name w:val="Char Char Char Char"/>
    <w:basedOn w:val="a"/>
    <w:pPr>
      <w:widowControl/>
      <w:spacing w:after="160" w:line="240" w:lineRule="exact"/>
      <w:jc w:val="left"/>
    </w:pPr>
    <w:rPr>
      <w:rFonts w:ascii="Verdana" w:hAnsi="Verdana"/>
      <w:kern w:val="0"/>
      <w:sz w:val="24"/>
      <w:lang w:eastAsia="en-US"/>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仿宋_GB2312" w:hAnsi="宋体" w:hint="eastAsia"/>
      <w:kern w:val="0"/>
      <w:sz w:val="24"/>
      <w:szCs w:val="24"/>
    </w:rPr>
  </w:style>
  <w:style w:type="paragraph" w:customStyle="1" w:styleId="xl40">
    <w:name w:val="xl40"/>
    <w:basedOn w:val="a"/>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仿宋_GB2312" w:hAnsi="宋体" w:hint="eastAsia"/>
      <w:kern w:val="0"/>
      <w:sz w:val="24"/>
      <w:szCs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仿宋_GB2312" w:hAnsi="宋体" w:hint="eastAsia"/>
      <w:kern w:val="0"/>
      <w:sz w:val="24"/>
      <w:szCs w:val="24"/>
    </w:rPr>
  </w:style>
  <w:style w:type="paragraph" w:customStyle="1" w:styleId="font7">
    <w:name w:val="font7"/>
    <w:basedOn w:val="a"/>
    <w:pPr>
      <w:widowControl/>
      <w:spacing w:before="100" w:beforeAutospacing="1" w:after="100" w:afterAutospacing="1" w:line="240" w:lineRule="auto"/>
      <w:jc w:val="left"/>
    </w:pPr>
    <w:rPr>
      <w:rFonts w:ascii="仿宋_GB2312" w:hAnsi="宋体" w:hint="eastAsia"/>
      <w:kern w:val="0"/>
      <w:sz w:val="22"/>
      <w:szCs w:val="22"/>
    </w:rPr>
  </w:style>
  <w:style w:type="paragraph" w:customStyle="1" w:styleId="Char1CharCharCharCharCharChar">
    <w:name w:val="Char1 Char Char Char Char Char Char"/>
    <w:basedOn w:val="a"/>
    <w:pPr>
      <w:spacing w:line="240" w:lineRule="auto"/>
    </w:pPr>
    <w:rPr>
      <w:rFonts w:ascii="Tahoma" w:eastAsia="宋体" w:hAnsi="Tahoma"/>
      <w:sz w:val="24"/>
    </w:rPr>
  </w:style>
  <w:style w:type="paragraph" w:customStyle="1" w:styleId="xl34">
    <w:name w:val="xl34"/>
    <w:basedOn w:val="a"/>
    <w:pPr>
      <w:widowControl/>
      <w:spacing w:before="100" w:beforeAutospacing="1" w:after="100" w:afterAutospacing="1" w:line="240" w:lineRule="auto"/>
      <w:jc w:val="left"/>
      <w:textAlignment w:val="center"/>
    </w:pPr>
    <w:rPr>
      <w:rFonts w:eastAsia="宋体"/>
      <w:kern w:val="0"/>
      <w:sz w:val="22"/>
      <w:szCs w:val="22"/>
    </w:rPr>
  </w:style>
  <w:style w:type="paragraph" w:customStyle="1" w:styleId="GB231207928">
    <w:name w:val="样式 (中文) 楷体_GB2312 小三 首行缩进:  0.79 厘米 行距: 固定值 28 磅"/>
    <w:basedOn w:val="a"/>
    <w:pPr>
      <w:spacing w:line="560" w:lineRule="exact"/>
      <w:ind w:firstLine="450"/>
    </w:pPr>
    <w:rPr>
      <w:rFonts w:eastAsia="楷体_GB2312"/>
    </w:rPr>
  </w:style>
  <w:style w:type="paragraph" w:customStyle="1" w:styleId="10">
    <w:name w:val="列出段落1"/>
    <w:basedOn w:val="a"/>
    <w:uiPriority w:val="99"/>
    <w:unhideWhenUsed/>
    <w:qFormat/>
    <w:pPr>
      <w:spacing w:line="240" w:lineRule="auto"/>
      <w:ind w:firstLineChars="200" w:firstLine="420"/>
    </w:pPr>
    <w:rPr>
      <w:rFonts w:ascii="Calibri" w:eastAsia="宋体" w:hAnsi="Calibri"/>
      <w:sz w:val="21"/>
      <w:szCs w:val="24"/>
    </w:rPr>
  </w:style>
  <w:style w:type="paragraph" w:styleId="af">
    <w:name w:val="Normal (Web)"/>
    <w:basedOn w:val="a"/>
    <w:pPr>
      <w:widowControl/>
      <w:spacing w:before="100" w:beforeAutospacing="1" w:after="100" w:afterAutospacing="1" w:line="240" w:lineRule="auto"/>
      <w:jc w:val="left"/>
    </w:pPr>
    <w:rPr>
      <w:rFonts w:ascii="宋体" w:eastAsia="宋体" w:hAnsi="宋体"/>
      <w:kern w:val="0"/>
      <w:sz w:val="24"/>
      <w:szCs w:val="24"/>
    </w:rPr>
  </w:style>
  <w:style w:type="paragraph" w:styleId="20">
    <w:name w:val="Body Text Indent 2"/>
    <w:basedOn w:val="a"/>
    <w:pPr>
      <w:spacing w:line="240" w:lineRule="auto"/>
      <w:ind w:rightChars="183" w:right="384" w:firstLineChars="199" w:firstLine="637"/>
    </w:pPr>
    <w:rPr>
      <w:szCs w:val="24"/>
    </w:rPr>
  </w:style>
  <w:style w:type="paragraph" w:customStyle="1" w:styleId="Af0">
    <w:name w:val="正文 A"/>
    <w:qFormat/>
    <w:pPr>
      <w:widowControl w:val="0"/>
      <w:spacing w:line="580" w:lineRule="exact"/>
      <w:jc w:val="both"/>
    </w:pPr>
    <w:rPr>
      <w:rFonts w:ascii="Arial Unicode MS" w:eastAsia="Arial Unicode MS" w:cs="Arial Unicode MS"/>
      <w:color w:val="000000"/>
      <w:kern w:val="2"/>
      <w:sz w:val="32"/>
      <w:szCs w:val="32"/>
      <w:u w:color="000000"/>
    </w:rPr>
  </w:style>
  <w:style w:type="paragraph" w:customStyle="1" w:styleId="xl37">
    <w:name w:val="xl37"/>
    <w:basedOn w:val="a"/>
    <w:pPr>
      <w:widowControl/>
      <w:spacing w:before="100" w:beforeAutospacing="1" w:after="100" w:afterAutospacing="1" w:line="240" w:lineRule="auto"/>
      <w:jc w:val="left"/>
      <w:textAlignment w:val="center"/>
    </w:pPr>
    <w:rPr>
      <w:rFonts w:ascii="仿宋_GB2312" w:hAnsi="宋体" w:hint="eastAsia"/>
      <w:kern w:val="0"/>
      <w:sz w:val="22"/>
      <w:szCs w:val="22"/>
    </w:rPr>
  </w:style>
  <w:style w:type="paragraph" w:customStyle="1" w:styleId="xl38">
    <w:name w:val="xl38"/>
    <w:basedOn w:val="a"/>
    <w:pPr>
      <w:widowControl/>
      <w:spacing w:before="100" w:beforeAutospacing="1" w:after="100" w:afterAutospacing="1" w:line="240" w:lineRule="auto"/>
      <w:jc w:val="center"/>
      <w:textAlignment w:val="center"/>
    </w:pPr>
    <w:rPr>
      <w:rFonts w:ascii="仿宋_GB2312" w:hAnsi="宋体" w:hint="eastAsia"/>
      <w:b/>
      <w:bCs/>
      <w:kern w:val="0"/>
      <w:sz w:val="40"/>
      <w:szCs w:val="40"/>
    </w:rPr>
  </w:style>
  <w:style w:type="paragraph" w:customStyle="1" w:styleId="xl29">
    <w:name w:val="xl29"/>
    <w:basedOn w:val="a"/>
    <w:pPr>
      <w:widowControl/>
      <w:spacing w:before="100" w:beforeAutospacing="1" w:after="100" w:afterAutospacing="1" w:line="240" w:lineRule="auto"/>
      <w:jc w:val="left"/>
    </w:pPr>
    <w:rPr>
      <w:rFonts w:ascii="仿宋_GB2312" w:hAnsi="宋体" w:hint="eastAsia"/>
      <w:kern w:val="0"/>
      <w:sz w:val="24"/>
      <w:szCs w:val="24"/>
    </w:rPr>
  </w:style>
  <w:style w:type="paragraph" w:styleId="af1">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table" w:styleId="af2">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页脚 字符"/>
    <w:link w:val="ab"/>
    <w:uiPriority w:val="99"/>
    <w:rsid w:val="000A77FC"/>
    <w:rPr>
      <w:rFonts w:eastAsia="仿宋_GB2312"/>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4000</Words>
  <Characters>22802</Characters>
  <Application>Microsoft Office Word</Application>
  <DocSecurity>0</DocSecurity>
  <PresentationFormat/>
  <Lines>190</Lines>
  <Paragraphs>53</Paragraphs>
  <Slides>0</Slides>
  <Notes>0</Notes>
  <HiddenSlides>0</HiddenSlides>
  <MMClips>0</MMClips>
  <ScaleCrop>false</ScaleCrop>
  <Manager/>
  <Company>EMC</Company>
  <LinksUpToDate>false</LinksUpToDate>
  <CharactersWithSpaces>26749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国粮发[2000]32号</dc:title>
  <dc:subject/>
  <dc:creator>赵绘图</dc:creator>
  <cp:keywords/>
  <dc:description/>
  <cp:lastModifiedBy>NTKO</cp:lastModifiedBy>
  <cp:revision>2</cp:revision>
  <cp:lastPrinted>2020-03-06T07:45:00Z</cp:lastPrinted>
  <dcterms:created xsi:type="dcterms:W3CDTF">2020-03-06T08:15:00Z</dcterms:created>
  <dcterms:modified xsi:type="dcterms:W3CDTF">2020-03-06T08:15:00Z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